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A3" w:rsidRPr="00A65425" w:rsidRDefault="007A19E7" w:rsidP="00E50DBA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OESD</w:t>
      </w:r>
      <w:r w:rsidR="00B07D4E" w:rsidRPr="00A65425">
        <w:rPr>
          <w:rFonts w:asciiTheme="minorHAnsi" w:hAnsiTheme="minorHAnsi" w:cs="Arial"/>
          <w:b/>
          <w:sz w:val="32"/>
          <w:szCs w:val="32"/>
        </w:rPr>
        <w:t xml:space="preserve"> Year End Reminders</w:t>
      </w:r>
    </w:p>
    <w:p w:rsidR="00695FD3" w:rsidRDefault="00695FD3">
      <w:pPr>
        <w:rPr>
          <w:rFonts w:asciiTheme="minorHAnsi" w:hAnsiTheme="minorHAnsi" w:cs="Arial"/>
        </w:rPr>
      </w:pPr>
    </w:p>
    <w:p w:rsidR="000479BC" w:rsidRPr="00356FC7" w:rsidRDefault="000479BC">
      <w:pPr>
        <w:rPr>
          <w:rFonts w:asciiTheme="minorHAnsi" w:hAnsiTheme="minorHAnsi" w:cstheme="minorHAnsi"/>
          <w:b/>
          <w:i/>
          <w:u w:val="single"/>
        </w:rPr>
      </w:pPr>
      <w:r w:rsidRPr="00356FC7">
        <w:rPr>
          <w:rFonts w:asciiTheme="minorHAnsi" w:hAnsiTheme="minorHAnsi" w:cstheme="minorHAnsi"/>
          <w:b/>
          <w:i/>
          <w:u w:val="single"/>
        </w:rPr>
        <w:t>DUE DATES</w:t>
      </w:r>
    </w:p>
    <w:p w:rsidR="00744762" w:rsidRPr="00356FC7" w:rsidRDefault="000479BC" w:rsidP="000479BC">
      <w:pPr>
        <w:ind w:left="1440" w:hanging="144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  <w:b/>
        </w:rPr>
        <w:t>October 2</w:t>
      </w:r>
      <w:r w:rsidR="00CF0155" w:rsidRPr="00356FC7">
        <w:rPr>
          <w:rFonts w:asciiTheme="minorHAnsi" w:hAnsiTheme="minorHAnsi" w:cstheme="minorHAnsi"/>
          <w:b/>
        </w:rPr>
        <w:t>5</w:t>
      </w:r>
      <w:r w:rsidRPr="00356FC7">
        <w:rPr>
          <w:rFonts w:asciiTheme="minorHAnsi" w:hAnsiTheme="minorHAnsi" w:cstheme="minorHAnsi"/>
        </w:rPr>
        <w:tab/>
      </w:r>
      <w:r w:rsidR="00356FC7">
        <w:rPr>
          <w:rFonts w:asciiTheme="minorHAnsi" w:hAnsiTheme="minorHAnsi" w:cstheme="minorHAnsi"/>
        </w:rPr>
        <w:tab/>
      </w:r>
      <w:r w:rsidR="003F68E6" w:rsidRPr="00356FC7">
        <w:rPr>
          <w:rFonts w:asciiTheme="minorHAnsi" w:hAnsiTheme="minorHAnsi" w:cstheme="minorHAnsi"/>
          <w:b/>
        </w:rPr>
        <w:t>D</w:t>
      </w:r>
      <w:r w:rsidRPr="00356FC7">
        <w:rPr>
          <w:rFonts w:asciiTheme="minorHAnsi" w:hAnsiTheme="minorHAnsi" w:cstheme="minorHAnsi"/>
          <w:b/>
        </w:rPr>
        <w:t>ue date for school districts to submit completed F-196 data to me.</w:t>
      </w:r>
      <w:r w:rsidRPr="00356FC7">
        <w:rPr>
          <w:rFonts w:asciiTheme="minorHAnsi" w:hAnsiTheme="minorHAnsi" w:cstheme="minorHAnsi"/>
        </w:rPr>
        <w:t xml:space="preserve">  </w:t>
      </w:r>
    </w:p>
    <w:p w:rsidR="00356FC7" w:rsidRDefault="001E58A3" w:rsidP="00356FC7">
      <w:pPr>
        <w:ind w:left="21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If </w:t>
      </w:r>
      <w:r w:rsidR="00161C3A" w:rsidRPr="00356FC7">
        <w:rPr>
          <w:rFonts w:asciiTheme="minorHAnsi" w:hAnsiTheme="minorHAnsi" w:cstheme="minorHAnsi"/>
        </w:rPr>
        <w:t xml:space="preserve">there are </w:t>
      </w:r>
      <w:r w:rsidRPr="00356FC7">
        <w:rPr>
          <w:rFonts w:asciiTheme="minorHAnsi" w:hAnsiTheme="minorHAnsi" w:cstheme="minorHAnsi"/>
          <w:u w:val="single"/>
        </w:rPr>
        <w:t>extenuating circumstances</w:t>
      </w:r>
      <w:r w:rsidRPr="00356FC7">
        <w:rPr>
          <w:rFonts w:asciiTheme="minorHAnsi" w:hAnsiTheme="minorHAnsi" w:cstheme="minorHAnsi"/>
        </w:rPr>
        <w:t xml:space="preserve"> that will cause </w:t>
      </w:r>
      <w:r w:rsidR="00161C3A" w:rsidRPr="00356FC7">
        <w:rPr>
          <w:rFonts w:asciiTheme="minorHAnsi" w:hAnsiTheme="minorHAnsi" w:cstheme="minorHAnsi"/>
        </w:rPr>
        <w:t xml:space="preserve">the district </w:t>
      </w:r>
      <w:r w:rsidRPr="00356FC7">
        <w:rPr>
          <w:rFonts w:asciiTheme="minorHAnsi" w:hAnsiTheme="minorHAnsi" w:cstheme="minorHAnsi"/>
        </w:rPr>
        <w:t xml:space="preserve">to miss </w:t>
      </w:r>
      <w:r w:rsidR="000479BC" w:rsidRPr="00356FC7">
        <w:rPr>
          <w:rFonts w:asciiTheme="minorHAnsi" w:hAnsiTheme="minorHAnsi" w:cstheme="minorHAnsi"/>
        </w:rPr>
        <w:t xml:space="preserve">this </w:t>
      </w:r>
      <w:r w:rsidRPr="00356FC7">
        <w:rPr>
          <w:rFonts w:asciiTheme="minorHAnsi" w:hAnsiTheme="minorHAnsi" w:cstheme="minorHAnsi"/>
        </w:rPr>
        <w:t>deadline</w:t>
      </w:r>
      <w:r w:rsidR="00A80FBF" w:rsidRPr="00356FC7">
        <w:rPr>
          <w:rFonts w:asciiTheme="minorHAnsi" w:hAnsiTheme="minorHAnsi" w:cstheme="minorHAnsi"/>
        </w:rPr>
        <w:t>,</w:t>
      </w:r>
      <w:r w:rsidRPr="00356FC7">
        <w:rPr>
          <w:rFonts w:asciiTheme="minorHAnsi" w:hAnsiTheme="minorHAnsi" w:cstheme="minorHAnsi"/>
        </w:rPr>
        <w:t xml:space="preserve"> </w:t>
      </w:r>
      <w:r w:rsidR="00161C3A" w:rsidRPr="00356FC7">
        <w:rPr>
          <w:rFonts w:asciiTheme="minorHAnsi" w:hAnsiTheme="minorHAnsi" w:cstheme="minorHAnsi"/>
        </w:rPr>
        <w:t xml:space="preserve">the district’s superintendent </w:t>
      </w:r>
      <w:r w:rsidRPr="00356FC7">
        <w:rPr>
          <w:rFonts w:asciiTheme="minorHAnsi" w:hAnsiTheme="minorHAnsi" w:cstheme="minorHAnsi"/>
        </w:rPr>
        <w:t xml:space="preserve">must request </w:t>
      </w:r>
      <w:r w:rsidR="00674618" w:rsidRPr="00356FC7">
        <w:rPr>
          <w:rFonts w:asciiTheme="minorHAnsi" w:hAnsiTheme="minorHAnsi" w:cstheme="minorHAnsi"/>
        </w:rPr>
        <w:t>an extension</w:t>
      </w:r>
      <w:r w:rsidR="000C3A98" w:rsidRPr="00356FC7">
        <w:rPr>
          <w:rFonts w:asciiTheme="minorHAnsi" w:hAnsiTheme="minorHAnsi" w:cstheme="minorHAnsi"/>
        </w:rPr>
        <w:t xml:space="preserve"> - </w:t>
      </w:r>
      <w:r w:rsidRPr="00356FC7">
        <w:rPr>
          <w:rFonts w:asciiTheme="minorHAnsi" w:hAnsiTheme="minorHAnsi" w:cstheme="minorHAnsi"/>
        </w:rPr>
        <w:t>in writing</w:t>
      </w:r>
      <w:r w:rsidR="000C3A98" w:rsidRPr="00356FC7">
        <w:rPr>
          <w:rFonts w:asciiTheme="minorHAnsi" w:hAnsiTheme="minorHAnsi" w:cstheme="minorHAnsi"/>
        </w:rPr>
        <w:t xml:space="preserve"> - </w:t>
      </w:r>
      <w:r w:rsidR="00A80FBF" w:rsidRPr="00356FC7">
        <w:rPr>
          <w:rFonts w:asciiTheme="minorHAnsi" w:hAnsiTheme="minorHAnsi" w:cstheme="minorHAnsi"/>
        </w:rPr>
        <w:t>from</w:t>
      </w:r>
      <w:r w:rsidR="001132A6" w:rsidRPr="00356FC7">
        <w:rPr>
          <w:rFonts w:asciiTheme="minorHAnsi" w:hAnsiTheme="minorHAnsi" w:cstheme="minorHAnsi"/>
        </w:rPr>
        <w:t xml:space="preserve"> the ESD superintendent, </w:t>
      </w:r>
      <w:r w:rsidR="007A19E7">
        <w:rPr>
          <w:rFonts w:asciiTheme="minorHAnsi" w:hAnsiTheme="minorHAnsi" w:cstheme="minorHAnsi"/>
        </w:rPr>
        <w:t>Aaron Leavell</w:t>
      </w:r>
      <w:r w:rsidR="0002024D" w:rsidRPr="00356FC7">
        <w:rPr>
          <w:rFonts w:asciiTheme="minorHAnsi" w:hAnsiTheme="minorHAnsi" w:cstheme="minorHAnsi"/>
        </w:rPr>
        <w:t xml:space="preserve"> (</w:t>
      </w:r>
      <w:hyperlink r:id="rId11" w:history="1">
        <w:r w:rsidR="007A19E7" w:rsidRPr="00F317E3">
          <w:rPr>
            <w:rStyle w:val="Hyperlink"/>
            <w:rFonts w:asciiTheme="minorHAnsi" w:hAnsiTheme="minorHAnsi" w:cstheme="minorHAnsi"/>
          </w:rPr>
          <w:t>aleavell@oesd114.org</w:t>
        </w:r>
      </w:hyperlink>
      <w:r w:rsidR="0002024D" w:rsidRPr="00356FC7">
        <w:rPr>
          <w:rFonts w:asciiTheme="minorHAnsi" w:hAnsiTheme="minorHAnsi" w:cstheme="minorHAnsi"/>
        </w:rPr>
        <w:t>)</w:t>
      </w:r>
      <w:r w:rsidR="00A80FBF" w:rsidRPr="00356FC7">
        <w:rPr>
          <w:rFonts w:asciiTheme="minorHAnsi" w:hAnsiTheme="minorHAnsi" w:cstheme="minorHAnsi"/>
        </w:rPr>
        <w:t xml:space="preserve">.  </w:t>
      </w:r>
      <w:r w:rsidRPr="00356FC7">
        <w:rPr>
          <w:rFonts w:asciiTheme="minorHAnsi" w:hAnsiTheme="minorHAnsi" w:cstheme="minorHAnsi"/>
        </w:rPr>
        <w:t xml:space="preserve">The request needs to include the extenuating circumstance and the date </w:t>
      </w:r>
      <w:r w:rsidR="00161C3A" w:rsidRPr="00356FC7">
        <w:rPr>
          <w:rFonts w:asciiTheme="minorHAnsi" w:hAnsiTheme="minorHAnsi" w:cstheme="minorHAnsi"/>
        </w:rPr>
        <w:t xml:space="preserve">the district </w:t>
      </w:r>
      <w:r w:rsidRPr="00356FC7">
        <w:rPr>
          <w:rFonts w:asciiTheme="minorHAnsi" w:hAnsiTheme="minorHAnsi" w:cstheme="minorHAnsi"/>
        </w:rPr>
        <w:t xml:space="preserve">will be able to have the completed </w:t>
      </w:r>
      <w:r w:rsidR="00EC55E4" w:rsidRPr="00356FC7">
        <w:rPr>
          <w:rFonts w:asciiTheme="minorHAnsi" w:hAnsiTheme="minorHAnsi" w:cstheme="minorHAnsi"/>
        </w:rPr>
        <w:t xml:space="preserve">report </w:t>
      </w:r>
      <w:r w:rsidRPr="00356FC7">
        <w:rPr>
          <w:rFonts w:asciiTheme="minorHAnsi" w:hAnsiTheme="minorHAnsi" w:cstheme="minorHAnsi"/>
        </w:rPr>
        <w:t xml:space="preserve">to </w:t>
      </w:r>
      <w:r w:rsidR="00734CEA" w:rsidRPr="00356FC7">
        <w:rPr>
          <w:rFonts w:asciiTheme="minorHAnsi" w:hAnsiTheme="minorHAnsi" w:cstheme="minorHAnsi"/>
        </w:rPr>
        <w:t xml:space="preserve">the </w:t>
      </w:r>
      <w:r w:rsidR="007A19E7">
        <w:rPr>
          <w:rFonts w:asciiTheme="minorHAnsi" w:hAnsiTheme="minorHAnsi" w:cstheme="minorHAnsi"/>
        </w:rPr>
        <w:t>OESD</w:t>
      </w:r>
      <w:r w:rsidRPr="00356FC7">
        <w:rPr>
          <w:rFonts w:asciiTheme="minorHAnsi" w:hAnsiTheme="minorHAnsi" w:cstheme="minorHAnsi"/>
        </w:rPr>
        <w:t>.</w:t>
      </w:r>
      <w:r w:rsidR="007B7D8E" w:rsidRPr="00356FC7">
        <w:rPr>
          <w:rFonts w:asciiTheme="minorHAnsi" w:hAnsiTheme="minorHAnsi" w:cstheme="minorHAnsi"/>
        </w:rPr>
        <w:t xml:space="preserve"> </w:t>
      </w:r>
      <w:r w:rsidR="001469C4" w:rsidRPr="00356FC7">
        <w:rPr>
          <w:rFonts w:asciiTheme="minorHAnsi" w:hAnsiTheme="minorHAnsi" w:cstheme="minorHAnsi"/>
        </w:rPr>
        <w:t xml:space="preserve"> </w:t>
      </w:r>
    </w:p>
    <w:p w:rsidR="000479BC" w:rsidRPr="00356FC7" w:rsidRDefault="00161C3A" w:rsidP="00356FC7">
      <w:pPr>
        <w:ind w:left="21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  <w:b/>
          <w:bCs/>
          <w:u w:val="double"/>
        </w:rPr>
        <w:t xml:space="preserve">NOTE:  </w:t>
      </w:r>
      <w:r w:rsidR="001469C4" w:rsidRPr="00356FC7">
        <w:rPr>
          <w:rFonts w:asciiTheme="minorHAnsi" w:hAnsiTheme="minorHAnsi" w:cstheme="minorHAnsi"/>
          <w:b/>
          <w:bCs/>
          <w:u w:val="double"/>
        </w:rPr>
        <w:t>An extension will only delay the deadline by a few days.</w:t>
      </w:r>
    </w:p>
    <w:p w:rsidR="000479BC" w:rsidRPr="00356FC7" w:rsidRDefault="000479BC" w:rsidP="000479BC">
      <w:pPr>
        <w:ind w:left="1440" w:hanging="1440"/>
        <w:rPr>
          <w:rFonts w:asciiTheme="minorHAnsi" w:hAnsiTheme="minorHAnsi" w:cstheme="minorHAnsi"/>
        </w:rPr>
      </w:pPr>
    </w:p>
    <w:p w:rsidR="00744762" w:rsidRPr="00356FC7" w:rsidRDefault="000479BC" w:rsidP="000479BC">
      <w:pPr>
        <w:ind w:left="1440" w:hanging="144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 xml:space="preserve">November </w:t>
      </w:r>
      <w:r w:rsidR="00CF0155" w:rsidRPr="00356FC7">
        <w:rPr>
          <w:rFonts w:asciiTheme="minorHAnsi" w:hAnsiTheme="minorHAnsi" w:cstheme="minorHAnsi"/>
          <w:b/>
        </w:rPr>
        <w:t>15</w:t>
      </w:r>
      <w:r w:rsidRPr="00356FC7">
        <w:rPr>
          <w:rFonts w:asciiTheme="minorHAnsi" w:hAnsiTheme="minorHAnsi" w:cstheme="minorHAnsi"/>
        </w:rPr>
        <w:tab/>
      </w:r>
      <w:r w:rsidR="00356FC7">
        <w:rPr>
          <w:rFonts w:asciiTheme="minorHAnsi" w:hAnsiTheme="minorHAnsi" w:cstheme="minorHAnsi"/>
        </w:rPr>
        <w:tab/>
      </w:r>
      <w:r w:rsidR="008D2783" w:rsidRPr="00356FC7">
        <w:rPr>
          <w:rFonts w:asciiTheme="minorHAnsi" w:hAnsiTheme="minorHAnsi" w:cstheme="minorHAnsi"/>
          <w:b/>
        </w:rPr>
        <w:t>D</w:t>
      </w:r>
      <w:r w:rsidR="00CF0155" w:rsidRPr="00356FC7">
        <w:rPr>
          <w:rFonts w:asciiTheme="minorHAnsi" w:hAnsiTheme="minorHAnsi" w:cstheme="minorHAnsi"/>
          <w:b/>
        </w:rPr>
        <w:t xml:space="preserve">eadline </w:t>
      </w:r>
      <w:r w:rsidR="00BA2709" w:rsidRPr="00356FC7">
        <w:rPr>
          <w:rFonts w:asciiTheme="minorHAnsi" w:hAnsiTheme="minorHAnsi" w:cstheme="minorHAnsi"/>
          <w:b/>
        </w:rPr>
        <w:t xml:space="preserve">for </w:t>
      </w:r>
      <w:r w:rsidR="00CF0155" w:rsidRPr="00356FC7">
        <w:rPr>
          <w:rFonts w:asciiTheme="minorHAnsi" w:hAnsiTheme="minorHAnsi" w:cstheme="minorHAnsi"/>
          <w:b/>
        </w:rPr>
        <w:t xml:space="preserve">electronic </w:t>
      </w:r>
      <w:r w:rsidR="003F30EF" w:rsidRPr="00356FC7">
        <w:rPr>
          <w:rFonts w:asciiTheme="minorHAnsi" w:hAnsiTheme="minorHAnsi" w:cstheme="minorHAnsi"/>
          <w:b/>
        </w:rPr>
        <w:t>signed certification pages</w:t>
      </w:r>
      <w:r w:rsidR="00CF0155" w:rsidRPr="00356FC7">
        <w:rPr>
          <w:rFonts w:asciiTheme="minorHAnsi" w:hAnsiTheme="minorHAnsi" w:cstheme="minorHAnsi"/>
          <w:b/>
        </w:rPr>
        <w:t>.</w:t>
      </w:r>
    </w:p>
    <w:p w:rsidR="00744762" w:rsidRPr="00356FC7" w:rsidRDefault="00CF0155" w:rsidP="00356FC7">
      <w:pPr>
        <w:ind w:left="21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Continuing this year, the F-196 will be electronically signed by the district in the OSPI EDS system.  The user role in EDS is “SAFS Document Signer (F-196)”.  Please work with </w:t>
      </w:r>
      <w:r w:rsidR="00161C3A" w:rsidRPr="00356FC7">
        <w:rPr>
          <w:rFonts w:asciiTheme="minorHAnsi" w:hAnsiTheme="minorHAnsi" w:cstheme="minorHAnsi"/>
        </w:rPr>
        <w:t xml:space="preserve">the district’s </w:t>
      </w:r>
      <w:r w:rsidRPr="00356FC7">
        <w:rPr>
          <w:rFonts w:asciiTheme="minorHAnsi" w:hAnsiTheme="minorHAnsi" w:cstheme="minorHAnsi"/>
        </w:rPr>
        <w:t>EDS security manager to ensure the signer has proper security in EDS to fulfill this obligation</w:t>
      </w:r>
      <w:r w:rsidR="007D398A" w:rsidRPr="00356FC7">
        <w:rPr>
          <w:rFonts w:asciiTheme="minorHAnsi" w:hAnsiTheme="minorHAnsi" w:cstheme="minorHAnsi"/>
        </w:rPr>
        <w:t xml:space="preserve"> (security may have been established in a prior year).</w:t>
      </w:r>
      <w:r w:rsidRPr="00356FC7">
        <w:rPr>
          <w:rFonts w:asciiTheme="minorHAnsi" w:hAnsiTheme="minorHAnsi" w:cstheme="minorHAnsi"/>
        </w:rPr>
        <w:t xml:space="preserve"> </w:t>
      </w:r>
      <w:r w:rsidR="00E7601C">
        <w:rPr>
          <w:rFonts w:asciiTheme="minorHAnsi" w:hAnsiTheme="minorHAnsi" w:cstheme="minorHAnsi"/>
        </w:rPr>
        <w:t xml:space="preserve"> The signer is the Superintendent or “Authorized Official”.</w:t>
      </w:r>
    </w:p>
    <w:p w:rsidR="00CF0155" w:rsidRPr="00356FC7" w:rsidRDefault="00CF0155" w:rsidP="00CF0155">
      <w:pPr>
        <w:ind w:left="1440"/>
        <w:rPr>
          <w:rFonts w:asciiTheme="minorHAnsi" w:hAnsiTheme="minorHAnsi" w:cstheme="minorHAnsi"/>
        </w:rPr>
      </w:pPr>
    </w:p>
    <w:p w:rsidR="00941C6D" w:rsidRPr="00356FC7" w:rsidRDefault="00744762" w:rsidP="000479BC">
      <w:pPr>
        <w:ind w:left="1440" w:hanging="1440"/>
        <w:rPr>
          <w:rFonts w:asciiTheme="minorHAnsi" w:hAnsiTheme="minorHAnsi" w:cstheme="minorHAnsi"/>
          <w:b/>
          <w:bCs/>
        </w:rPr>
      </w:pPr>
      <w:r w:rsidRPr="00356FC7">
        <w:rPr>
          <w:rFonts w:asciiTheme="minorHAnsi" w:hAnsiTheme="minorHAnsi" w:cstheme="minorHAnsi"/>
          <w:b/>
          <w:bCs/>
        </w:rPr>
        <w:t>November 30</w:t>
      </w:r>
      <w:r w:rsidRPr="00356FC7">
        <w:rPr>
          <w:rFonts w:asciiTheme="minorHAnsi" w:hAnsiTheme="minorHAnsi" w:cstheme="minorHAnsi"/>
          <w:b/>
          <w:bCs/>
        </w:rPr>
        <w:tab/>
      </w:r>
      <w:r w:rsidR="00356FC7">
        <w:rPr>
          <w:rFonts w:asciiTheme="minorHAnsi" w:hAnsiTheme="minorHAnsi" w:cstheme="minorHAnsi"/>
          <w:b/>
          <w:bCs/>
        </w:rPr>
        <w:tab/>
      </w:r>
      <w:r w:rsidRPr="00356FC7">
        <w:rPr>
          <w:rFonts w:asciiTheme="minorHAnsi" w:hAnsiTheme="minorHAnsi" w:cstheme="minorHAnsi"/>
          <w:b/>
          <w:bCs/>
        </w:rPr>
        <w:t>SEFA due to State Auditor’s Office (SAO)</w:t>
      </w:r>
      <w:r w:rsidR="00941C6D" w:rsidRPr="00356FC7">
        <w:rPr>
          <w:rFonts w:asciiTheme="minorHAnsi" w:hAnsiTheme="minorHAnsi" w:cstheme="minorHAnsi"/>
          <w:b/>
          <w:bCs/>
        </w:rPr>
        <w:t>.</w:t>
      </w:r>
    </w:p>
    <w:p w:rsidR="00744762" w:rsidRPr="00356FC7" w:rsidRDefault="00941C6D" w:rsidP="00356FC7">
      <w:pPr>
        <w:ind w:left="2160"/>
        <w:rPr>
          <w:rFonts w:asciiTheme="minorHAnsi" w:hAnsiTheme="minorHAnsi" w:cstheme="minorHAnsi"/>
          <w:bCs/>
        </w:rPr>
      </w:pPr>
      <w:r w:rsidRPr="00356FC7">
        <w:rPr>
          <w:rFonts w:asciiTheme="minorHAnsi" w:hAnsiTheme="minorHAnsi" w:cstheme="minorHAnsi"/>
          <w:bCs/>
        </w:rPr>
        <w:t>If November 30</w:t>
      </w:r>
      <w:r w:rsidRPr="00356FC7">
        <w:rPr>
          <w:rFonts w:asciiTheme="minorHAnsi" w:hAnsiTheme="minorHAnsi" w:cstheme="minorHAnsi"/>
          <w:bCs/>
          <w:vertAlign w:val="superscript"/>
        </w:rPr>
        <w:t>th</w:t>
      </w:r>
      <w:r w:rsidRPr="00356FC7">
        <w:rPr>
          <w:rFonts w:asciiTheme="minorHAnsi" w:hAnsiTheme="minorHAnsi" w:cstheme="minorHAnsi"/>
          <w:bCs/>
        </w:rPr>
        <w:t xml:space="preserve"> falls on a weekend, the SEFA is due the Friday before the deadline</w:t>
      </w:r>
      <w:r w:rsidR="00744762" w:rsidRPr="00356FC7">
        <w:rPr>
          <w:rFonts w:asciiTheme="minorHAnsi" w:hAnsiTheme="minorHAnsi" w:cstheme="minorHAnsi"/>
          <w:bCs/>
        </w:rPr>
        <w:t>.</w:t>
      </w:r>
    </w:p>
    <w:p w:rsidR="003011DD" w:rsidRDefault="003011DD">
      <w:pPr>
        <w:rPr>
          <w:rFonts w:asciiTheme="minorHAnsi" w:hAnsiTheme="minorHAnsi" w:cstheme="minorHAnsi"/>
        </w:rPr>
      </w:pPr>
    </w:p>
    <w:p w:rsidR="0068557A" w:rsidRPr="00356FC7" w:rsidRDefault="00674618">
      <w:p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In</w:t>
      </w:r>
      <w:r w:rsidR="001E58A3" w:rsidRPr="00356FC7">
        <w:rPr>
          <w:rFonts w:asciiTheme="minorHAnsi" w:hAnsiTheme="minorHAnsi" w:cstheme="minorHAnsi"/>
        </w:rPr>
        <w:t xml:space="preserve"> addition to the F-196 </w:t>
      </w:r>
      <w:r w:rsidR="00EC55E4" w:rsidRPr="00356FC7">
        <w:rPr>
          <w:rFonts w:asciiTheme="minorHAnsi" w:hAnsiTheme="minorHAnsi" w:cstheme="minorHAnsi"/>
        </w:rPr>
        <w:t xml:space="preserve">report, </w:t>
      </w:r>
      <w:r w:rsidR="00762F81" w:rsidRPr="00356FC7">
        <w:rPr>
          <w:rFonts w:asciiTheme="minorHAnsi" w:hAnsiTheme="minorHAnsi" w:cstheme="minorHAnsi"/>
        </w:rPr>
        <w:t xml:space="preserve">I </w:t>
      </w:r>
      <w:r w:rsidR="001E58A3" w:rsidRPr="00356FC7">
        <w:rPr>
          <w:rFonts w:asciiTheme="minorHAnsi" w:hAnsiTheme="minorHAnsi" w:cstheme="minorHAnsi"/>
        </w:rPr>
        <w:t>would like to receive a</w:t>
      </w:r>
      <w:r w:rsidR="00BA2709" w:rsidRPr="00356FC7">
        <w:rPr>
          <w:rFonts w:asciiTheme="minorHAnsi" w:hAnsiTheme="minorHAnsi" w:cstheme="minorHAnsi"/>
        </w:rPr>
        <w:t xml:space="preserve">n electronic </w:t>
      </w:r>
      <w:r w:rsidR="001E58A3" w:rsidRPr="00356FC7">
        <w:rPr>
          <w:rFonts w:asciiTheme="minorHAnsi" w:hAnsiTheme="minorHAnsi" w:cstheme="minorHAnsi"/>
        </w:rPr>
        <w:t xml:space="preserve">copy of </w:t>
      </w:r>
      <w:r w:rsidR="00A80FBF" w:rsidRPr="00356FC7">
        <w:rPr>
          <w:rFonts w:asciiTheme="minorHAnsi" w:hAnsiTheme="minorHAnsi" w:cstheme="minorHAnsi"/>
        </w:rPr>
        <w:t xml:space="preserve">the </w:t>
      </w:r>
      <w:r w:rsidR="001E58A3" w:rsidRPr="00356FC7">
        <w:rPr>
          <w:rFonts w:asciiTheme="minorHAnsi" w:hAnsiTheme="minorHAnsi" w:cstheme="minorHAnsi"/>
        </w:rPr>
        <w:t xml:space="preserve">calculation of </w:t>
      </w:r>
      <w:r w:rsidR="00161C3A" w:rsidRPr="00356FC7">
        <w:rPr>
          <w:rFonts w:asciiTheme="minorHAnsi" w:hAnsiTheme="minorHAnsi" w:cstheme="minorHAnsi"/>
        </w:rPr>
        <w:t xml:space="preserve">the </w:t>
      </w:r>
      <w:r w:rsidR="001E58A3" w:rsidRPr="00356FC7">
        <w:rPr>
          <w:rFonts w:asciiTheme="minorHAnsi" w:hAnsiTheme="minorHAnsi" w:cstheme="minorHAnsi"/>
        </w:rPr>
        <w:t>fund balance accounts</w:t>
      </w:r>
      <w:r w:rsidRPr="00356FC7">
        <w:rPr>
          <w:rFonts w:asciiTheme="minorHAnsi" w:hAnsiTheme="minorHAnsi" w:cstheme="minorHAnsi"/>
        </w:rPr>
        <w:t xml:space="preserve"> using </w:t>
      </w:r>
      <w:r w:rsidR="00123484">
        <w:rPr>
          <w:rFonts w:asciiTheme="minorHAnsi" w:hAnsiTheme="minorHAnsi" w:cstheme="minorHAnsi"/>
        </w:rPr>
        <w:t xml:space="preserve">OSPI’s </w:t>
      </w:r>
      <w:r w:rsidR="00195AFE" w:rsidRPr="00356FC7">
        <w:rPr>
          <w:rFonts w:asciiTheme="minorHAnsi" w:hAnsiTheme="minorHAnsi" w:cstheme="minorHAnsi"/>
        </w:rPr>
        <w:t xml:space="preserve">Fund Balance Reporting </w:t>
      </w:r>
      <w:r w:rsidR="00123484">
        <w:rPr>
          <w:rFonts w:asciiTheme="minorHAnsi" w:hAnsiTheme="minorHAnsi" w:cstheme="minorHAnsi"/>
        </w:rPr>
        <w:t>T</w:t>
      </w:r>
      <w:r w:rsidR="00195AFE" w:rsidRPr="00356FC7">
        <w:rPr>
          <w:rFonts w:asciiTheme="minorHAnsi" w:hAnsiTheme="minorHAnsi" w:cstheme="minorHAnsi"/>
        </w:rPr>
        <w:t xml:space="preserve">ool </w:t>
      </w:r>
      <w:r w:rsidR="0068557A" w:rsidRPr="00356FC7">
        <w:rPr>
          <w:rFonts w:asciiTheme="minorHAnsi" w:hAnsiTheme="minorHAnsi" w:cstheme="minorHAnsi"/>
        </w:rPr>
        <w:t xml:space="preserve">(be sure to use the correct tool as </w:t>
      </w:r>
      <w:r w:rsidR="00A71257" w:rsidRPr="00356FC7">
        <w:rPr>
          <w:rFonts w:asciiTheme="minorHAnsi" w:hAnsiTheme="minorHAnsi" w:cstheme="minorHAnsi"/>
        </w:rPr>
        <w:t xml:space="preserve">often the </w:t>
      </w:r>
      <w:r w:rsidR="00754420" w:rsidRPr="00356FC7">
        <w:rPr>
          <w:rFonts w:asciiTheme="minorHAnsi" w:hAnsiTheme="minorHAnsi" w:cstheme="minorHAnsi"/>
        </w:rPr>
        <w:t xml:space="preserve">prior year </w:t>
      </w:r>
      <w:r w:rsidR="0068557A" w:rsidRPr="00356FC7">
        <w:rPr>
          <w:rFonts w:asciiTheme="minorHAnsi" w:hAnsiTheme="minorHAnsi" w:cstheme="minorHAnsi"/>
        </w:rPr>
        <w:t xml:space="preserve">tool and the </w:t>
      </w:r>
      <w:r w:rsidR="00754420" w:rsidRPr="00356FC7">
        <w:rPr>
          <w:rFonts w:asciiTheme="minorHAnsi" w:hAnsiTheme="minorHAnsi" w:cstheme="minorHAnsi"/>
        </w:rPr>
        <w:t>curren</w:t>
      </w:r>
      <w:r w:rsidR="00A71257" w:rsidRPr="00356FC7">
        <w:rPr>
          <w:rFonts w:asciiTheme="minorHAnsi" w:hAnsiTheme="minorHAnsi" w:cstheme="minorHAnsi"/>
        </w:rPr>
        <w:t xml:space="preserve">t </w:t>
      </w:r>
      <w:r w:rsidR="005459E9" w:rsidRPr="00356FC7">
        <w:rPr>
          <w:rFonts w:asciiTheme="minorHAnsi" w:hAnsiTheme="minorHAnsi" w:cstheme="minorHAnsi"/>
        </w:rPr>
        <w:t xml:space="preserve">year </w:t>
      </w:r>
      <w:r w:rsidR="00A71257" w:rsidRPr="00356FC7">
        <w:rPr>
          <w:rFonts w:asciiTheme="minorHAnsi" w:hAnsiTheme="minorHAnsi" w:cstheme="minorHAnsi"/>
        </w:rPr>
        <w:t>tool will be posted</w:t>
      </w:r>
      <w:r w:rsidR="0068557A" w:rsidRPr="00356FC7">
        <w:rPr>
          <w:rFonts w:asciiTheme="minorHAnsi" w:hAnsiTheme="minorHAnsi" w:cstheme="minorHAnsi"/>
        </w:rPr>
        <w:t xml:space="preserve">).  Using </w:t>
      </w:r>
      <w:r w:rsidR="001E58A3" w:rsidRPr="00356FC7">
        <w:rPr>
          <w:rFonts w:asciiTheme="minorHAnsi" w:hAnsiTheme="minorHAnsi" w:cstheme="minorHAnsi"/>
        </w:rPr>
        <w:t xml:space="preserve">this tool will assist </w:t>
      </w:r>
      <w:r w:rsidR="007D398A" w:rsidRPr="00356FC7">
        <w:rPr>
          <w:rFonts w:asciiTheme="minorHAnsi" w:hAnsiTheme="minorHAnsi" w:cstheme="minorHAnsi"/>
        </w:rPr>
        <w:t xml:space="preserve">the district </w:t>
      </w:r>
      <w:r w:rsidR="003F68E6" w:rsidRPr="00356FC7">
        <w:rPr>
          <w:rFonts w:asciiTheme="minorHAnsi" w:hAnsiTheme="minorHAnsi" w:cstheme="minorHAnsi"/>
        </w:rPr>
        <w:t xml:space="preserve">in determining fund </w:t>
      </w:r>
      <w:r w:rsidR="00EB68F7" w:rsidRPr="00356FC7">
        <w:rPr>
          <w:rFonts w:asciiTheme="minorHAnsi" w:hAnsiTheme="minorHAnsi" w:cstheme="minorHAnsi"/>
        </w:rPr>
        <w:t xml:space="preserve">balances and is also used by me as </w:t>
      </w:r>
      <w:r w:rsidR="001E58A3" w:rsidRPr="00356FC7">
        <w:rPr>
          <w:rFonts w:asciiTheme="minorHAnsi" w:hAnsiTheme="minorHAnsi" w:cstheme="minorHAnsi"/>
        </w:rPr>
        <w:t>a double check of what the F-196 should be showing for fund balances.</w:t>
      </w:r>
      <w:r w:rsidRPr="00356FC7">
        <w:rPr>
          <w:rFonts w:asciiTheme="minorHAnsi" w:hAnsiTheme="minorHAnsi" w:cstheme="minorHAnsi"/>
        </w:rPr>
        <w:t xml:space="preserve">  Please fill ou</w:t>
      </w:r>
      <w:r w:rsidR="009644BB" w:rsidRPr="00356FC7">
        <w:rPr>
          <w:rFonts w:asciiTheme="minorHAnsi" w:hAnsiTheme="minorHAnsi" w:cstheme="minorHAnsi"/>
        </w:rPr>
        <w:t xml:space="preserve">t the spreadsheet for all funds and </w:t>
      </w:r>
      <w:r w:rsidR="009644BB" w:rsidRPr="00356FC7">
        <w:rPr>
          <w:rFonts w:asciiTheme="minorHAnsi" w:hAnsiTheme="minorHAnsi" w:cstheme="minorHAnsi"/>
          <w:b/>
          <w:bCs/>
          <w:u w:val="single"/>
        </w:rPr>
        <w:t>be careful to not override the formulas</w:t>
      </w:r>
      <w:r w:rsidR="009644BB" w:rsidRPr="00356FC7">
        <w:rPr>
          <w:rFonts w:asciiTheme="minorHAnsi" w:hAnsiTheme="minorHAnsi" w:cstheme="minorHAnsi"/>
        </w:rPr>
        <w:t>.</w:t>
      </w:r>
      <w:r w:rsidR="004746F2" w:rsidRPr="00356FC7">
        <w:rPr>
          <w:rFonts w:asciiTheme="minorHAnsi" w:hAnsiTheme="minorHAnsi" w:cstheme="minorHAnsi"/>
        </w:rPr>
        <w:t xml:space="preserve">  </w:t>
      </w:r>
      <w:r w:rsidR="0068557A" w:rsidRPr="00356FC7">
        <w:rPr>
          <w:rFonts w:asciiTheme="minorHAnsi" w:hAnsiTheme="minorHAnsi" w:cstheme="minorHAnsi"/>
        </w:rPr>
        <w:t>(</w:t>
      </w:r>
      <w:hyperlink r:id="rId12" w:history="1">
        <w:r w:rsidR="0068557A" w:rsidRPr="00356FC7">
          <w:rPr>
            <w:rStyle w:val="Hyperlink"/>
            <w:rFonts w:asciiTheme="minorHAnsi" w:hAnsiTheme="minorHAnsi" w:cstheme="minorHAnsi"/>
          </w:rPr>
          <w:t>https://www.k12.wa.us/policy-funding/school-apportionment/instructions-and-tools/tools-and-forms</w:t>
        </w:r>
      </w:hyperlink>
      <w:r w:rsidR="0068557A" w:rsidRPr="00356FC7">
        <w:rPr>
          <w:rFonts w:asciiTheme="minorHAnsi" w:hAnsiTheme="minorHAnsi" w:cstheme="minorHAnsi"/>
        </w:rPr>
        <w:t>).</w:t>
      </w:r>
    </w:p>
    <w:p w:rsidR="00765392" w:rsidRDefault="00765392">
      <w:pPr>
        <w:rPr>
          <w:rFonts w:asciiTheme="minorHAnsi" w:hAnsiTheme="minorHAnsi" w:cstheme="minorHAnsi"/>
        </w:rPr>
      </w:pPr>
    </w:p>
    <w:p w:rsidR="00E23BE6" w:rsidRDefault="00E23BE6">
      <w:pPr>
        <w:rPr>
          <w:rFonts w:asciiTheme="minorHAnsi" w:hAnsiTheme="minorHAnsi" w:cstheme="minorHAnsi"/>
        </w:rPr>
      </w:pPr>
    </w:p>
    <w:p w:rsidR="00762F81" w:rsidRPr="00356FC7" w:rsidRDefault="00B715FD">
      <w:pPr>
        <w:rPr>
          <w:rFonts w:asciiTheme="minorHAnsi" w:hAnsiTheme="minorHAnsi" w:cstheme="minorHAnsi"/>
          <w:b/>
          <w:i/>
          <w:u w:val="single"/>
        </w:rPr>
      </w:pPr>
      <w:r w:rsidRPr="00356FC7">
        <w:rPr>
          <w:rFonts w:asciiTheme="minorHAnsi" w:hAnsiTheme="minorHAnsi" w:cstheme="minorHAnsi"/>
          <w:b/>
          <w:i/>
          <w:u w:val="single"/>
        </w:rPr>
        <w:t xml:space="preserve">ANNUAL </w:t>
      </w:r>
      <w:r w:rsidR="00762F81" w:rsidRPr="00356FC7">
        <w:rPr>
          <w:rFonts w:asciiTheme="minorHAnsi" w:hAnsiTheme="minorHAnsi" w:cstheme="minorHAnsi"/>
          <w:b/>
          <w:i/>
          <w:u w:val="single"/>
        </w:rPr>
        <w:t>TIP</w:t>
      </w:r>
      <w:r w:rsidR="001469C4" w:rsidRPr="00356FC7">
        <w:rPr>
          <w:rFonts w:asciiTheme="minorHAnsi" w:hAnsiTheme="minorHAnsi" w:cstheme="minorHAnsi"/>
          <w:b/>
          <w:i/>
          <w:u w:val="single"/>
        </w:rPr>
        <w:t>S</w:t>
      </w:r>
      <w:r w:rsidR="00762F81" w:rsidRPr="00356FC7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CD2699" w:rsidRDefault="00762F81">
      <w:p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To easily identify year end journal entries</w:t>
      </w:r>
      <w:r w:rsidR="004447DD" w:rsidRPr="00356FC7">
        <w:rPr>
          <w:rFonts w:asciiTheme="minorHAnsi" w:hAnsiTheme="minorHAnsi" w:cstheme="minorHAnsi"/>
        </w:rPr>
        <w:t xml:space="preserve"> (JE’s)</w:t>
      </w:r>
      <w:r w:rsidRPr="00356FC7">
        <w:rPr>
          <w:rFonts w:asciiTheme="minorHAnsi" w:hAnsiTheme="minorHAnsi" w:cstheme="minorHAnsi"/>
        </w:rPr>
        <w:t>, use a unique naming convention such as YE1</w:t>
      </w:r>
      <w:r w:rsidR="00B715FD" w:rsidRPr="00356FC7">
        <w:rPr>
          <w:rFonts w:asciiTheme="minorHAnsi" w:hAnsiTheme="minorHAnsi" w:cstheme="minorHAnsi"/>
        </w:rPr>
        <w:t>5</w:t>
      </w:r>
      <w:r w:rsidRPr="00356FC7">
        <w:rPr>
          <w:rFonts w:asciiTheme="minorHAnsi" w:hAnsiTheme="minorHAnsi" w:cstheme="minorHAnsi"/>
        </w:rPr>
        <w:t>01, YE1</w:t>
      </w:r>
      <w:r w:rsidR="00B715FD" w:rsidRPr="00356FC7">
        <w:rPr>
          <w:rFonts w:asciiTheme="minorHAnsi" w:hAnsiTheme="minorHAnsi" w:cstheme="minorHAnsi"/>
        </w:rPr>
        <w:t>5</w:t>
      </w:r>
      <w:r w:rsidRPr="00356FC7">
        <w:rPr>
          <w:rFonts w:asciiTheme="minorHAnsi" w:hAnsiTheme="minorHAnsi" w:cstheme="minorHAnsi"/>
        </w:rPr>
        <w:t>02, YE1</w:t>
      </w:r>
      <w:r w:rsidR="00B715FD" w:rsidRPr="00356FC7">
        <w:rPr>
          <w:rFonts w:asciiTheme="minorHAnsi" w:hAnsiTheme="minorHAnsi" w:cstheme="minorHAnsi"/>
        </w:rPr>
        <w:t>5</w:t>
      </w:r>
      <w:r w:rsidRPr="00356FC7">
        <w:rPr>
          <w:rFonts w:asciiTheme="minorHAnsi" w:hAnsiTheme="minorHAnsi" w:cstheme="minorHAnsi"/>
        </w:rPr>
        <w:t>03, etc. It’s also a good idea to keep a list of annual JE’s</w:t>
      </w:r>
      <w:r w:rsidR="00B715FD" w:rsidRPr="00356FC7">
        <w:rPr>
          <w:rFonts w:asciiTheme="minorHAnsi" w:hAnsiTheme="minorHAnsi" w:cstheme="minorHAnsi"/>
        </w:rPr>
        <w:t xml:space="preserve"> and </w:t>
      </w:r>
      <w:r w:rsidR="005B049E" w:rsidRPr="00356FC7">
        <w:rPr>
          <w:rFonts w:asciiTheme="minorHAnsi" w:hAnsiTheme="minorHAnsi" w:cstheme="minorHAnsi"/>
        </w:rPr>
        <w:t xml:space="preserve">track the status of </w:t>
      </w:r>
      <w:r w:rsidR="00B715FD" w:rsidRPr="00356FC7">
        <w:rPr>
          <w:rFonts w:asciiTheme="minorHAnsi" w:hAnsiTheme="minorHAnsi" w:cstheme="minorHAnsi"/>
        </w:rPr>
        <w:t>those that need to be reversed</w:t>
      </w:r>
      <w:r w:rsidRPr="00356FC7">
        <w:rPr>
          <w:rFonts w:asciiTheme="minorHAnsi" w:hAnsiTheme="minorHAnsi" w:cstheme="minorHAnsi"/>
        </w:rPr>
        <w:t>.</w:t>
      </w:r>
    </w:p>
    <w:p w:rsidR="00CD2699" w:rsidRDefault="00CD2699">
      <w:pPr>
        <w:rPr>
          <w:rFonts w:asciiTheme="minorHAnsi" w:hAnsiTheme="minorHAnsi" w:cstheme="minorHAnsi"/>
        </w:rPr>
      </w:pPr>
    </w:p>
    <w:p w:rsidR="00CD2699" w:rsidRPr="00356FC7" w:rsidRDefault="00CD2699" w:rsidP="00CD2699">
      <w:pPr>
        <w:rPr>
          <w:rFonts w:asciiTheme="minorHAnsi" w:hAnsiTheme="minorHAnsi" w:cstheme="minorHAnsi"/>
          <w:color w:val="000000"/>
        </w:rPr>
      </w:pPr>
      <w:r w:rsidRPr="00356FC7">
        <w:rPr>
          <w:rFonts w:asciiTheme="minorHAnsi" w:hAnsiTheme="minorHAnsi" w:cstheme="minorHAnsi"/>
          <w:color w:val="000000"/>
        </w:rPr>
        <w:t xml:space="preserve">The SAFS applications have been developed to be viewed with Edge.  </w:t>
      </w:r>
      <w:r w:rsidRPr="00356FC7">
        <w:rPr>
          <w:rFonts w:asciiTheme="minorHAnsi" w:hAnsiTheme="minorHAnsi" w:cstheme="minorHAnsi"/>
          <w:b/>
          <w:bCs/>
          <w:color w:val="000000"/>
        </w:rPr>
        <w:t>Results may be unpredictable using other browsers.</w:t>
      </w:r>
    </w:p>
    <w:p w:rsidR="00765392" w:rsidRDefault="00765392">
      <w:pPr>
        <w:rPr>
          <w:rFonts w:asciiTheme="minorHAnsi" w:hAnsiTheme="minorHAnsi" w:cstheme="minorHAnsi"/>
        </w:rPr>
      </w:pPr>
    </w:p>
    <w:p w:rsidR="006B7295" w:rsidRPr="00356FC7" w:rsidRDefault="00887CC8">
      <w:pPr>
        <w:rPr>
          <w:rFonts w:asciiTheme="minorHAnsi" w:hAnsiTheme="minorHAnsi" w:cstheme="minorHAnsi"/>
          <w:b/>
          <w:i/>
          <w:u w:val="single"/>
        </w:rPr>
      </w:pPr>
      <w:r w:rsidRPr="00356FC7">
        <w:rPr>
          <w:rFonts w:asciiTheme="minorHAnsi" w:hAnsiTheme="minorHAnsi" w:cstheme="minorHAnsi"/>
          <w:b/>
          <w:i/>
          <w:highlight w:val="yellow"/>
          <w:u w:val="single"/>
        </w:rPr>
        <w:t>**</w:t>
      </w:r>
      <w:r w:rsidR="005459E9" w:rsidRPr="00356FC7">
        <w:rPr>
          <w:rFonts w:asciiTheme="minorHAnsi" w:hAnsiTheme="minorHAnsi" w:cstheme="minorHAnsi"/>
          <w:b/>
          <w:i/>
          <w:highlight w:val="yellow"/>
          <w:u w:val="single"/>
        </w:rPr>
        <w:t>NEW THIS YEAR</w:t>
      </w:r>
      <w:r w:rsidRPr="00356FC7">
        <w:rPr>
          <w:rFonts w:asciiTheme="minorHAnsi" w:hAnsiTheme="minorHAnsi" w:cstheme="minorHAnsi"/>
          <w:b/>
          <w:i/>
          <w:highlight w:val="yellow"/>
          <w:u w:val="single"/>
        </w:rPr>
        <w:t>**</w:t>
      </w:r>
    </w:p>
    <w:p w:rsidR="002A54B0" w:rsidRPr="00356FC7" w:rsidRDefault="00D66C1C" w:rsidP="00CA3A9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iCs/>
        </w:rPr>
      </w:pPr>
      <w:r w:rsidRPr="00356FC7">
        <w:rPr>
          <w:rFonts w:asciiTheme="minorHAnsi" w:hAnsiTheme="minorHAnsi" w:cstheme="minorHAnsi"/>
          <w:b/>
          <w:bCs/>
          <w:iCs/>
          <w:u w:val="single"/>
        </w:rPr>
        <w:t>GASB 8</w:t>
      </w:r>
      <w:r w:rsidR="00584D28" w:rsidRPr="00356FC7">
        <w:rPr>
          <w:rFonts w:asciiTheme="minorHAnsi" w:hAnsiTheme="minorHAnsi" w:cstheme="minorHAnsi"/>
          <w:b/>
          <w:bCs/>
          <w:iCs/>
          <w:u w:val="single"/>
        </w:rPr>
        <w:t>7 Lease Accounting</w:t>
      </w:r>
      <w:r w:rsidRPr="00356FC7">
        <w:rPr>
          <w:rFonts w:asciiTheme="minorHAnsi" w:hAnsiTheme="minorHAnsi" w:cstheme="minorHAnsi"/>
          <w:bCs/>
          <w:iCs/>
        </w:rPr>
        <w:t xml:space="preserve"> will be an audit emphasis</w:t>
      </w:r>
      <w:r w:rsidR="00584D28" w:rsidRPr="00356FC7">
        <w:rPr>
          <w:rFonts w:asciiTheme="minorHAnsi" w:hAnsiTheme="minorHAnsi" w:cstheme="minorHAnsi"/>
          <w:bCs/>
          <w:iCs/>
        </w:rPr>
        <w:t xml:space="preserve">.  </w:t>
      </w:r>
      <w:r w:rsidR="002A54B0" w:rsidRPr="00356FC7">
        <w:rPr>
          <w:rFonts w:asciiTheme="minorHAnsi" w:hAnsiTheme="minorHAnsi" w:cstheme="minorHAnsi"/>
          <w:bCs/>
          <w:iCs/>
        </w:rPr>
        <w:t xml:space="preserve">Refer to OSPI’s </w:t>
      </w:r>
      <w:hyperlink r:id="rId13" w:history="1">
        <w:r w:rsidR="002A54B0" w:rsidRPr="00356FC7">
          <w:rPr>
            <w:rStyle w:val="Hyperlink"/>
            <w:rFonts w:asciiTheme="minorHAnsi" w:hAnsiTheme="minorHAnsi" w:cstheme="minorHAnsi"/>
            <w:bCs/>
            <w:iCs/>
          </w:rPr>
          <w:t>B</w:t>
        </w:r>
        <w:r w:rsidR="00584D28" w:rsidRPr="00356FC7">
          <w:rPr>
            <w:rStyle w:val="Hyperlink"/>
            <w:rFonts w:asciiTheme="minorHAnsi" w:hAnsiTheme="minorHAnsi" w:cstheme="minorHAnsi"/>
            <w:bCs/>
            <w:iCs/>
          </w:rPr>
          <w:t xml:space="preserve">ulletin </w:t>
        </w:r>
        <w:r w:rsidR="002A54B0" w:rsidRPr="00356FC7">
          <w:rPr>
            <w:rStyle w:val="Hyperlink"/>
            <w:rFonts w:asciiTheme="minorHAnsi" w:hAnsiTheme="minorHAnsi" w:cstheme="minorHAnsi"/>
            <w:bCs/>
            <w:iCs/>
          </w:rPr>
          <w:t>056-21</w:t>
        </w:r>
      </w:hyperlink>
      <w:r w:rsidR="002A54B0" w:rsidRPr="00356FC7">
        <w:rPr>
          <w:rFonts w:asciiTheme="minorHAnsi" w:hAnsiTheme="minorHAnsi" w:cstheme="minorHAnsi"/>
          <w:bCs/>
          <w:iCs/>
        </w:rPr>
        <w:t xml:space="preserve"> for more detail and sample journal entries (</w:t>
      </w:r>
      <w:r w:rsidR="00584D28" w:rsidRPr="00356FC7">
        <w:rPr>
          <w:rFonts w:asciiTheme="minorHAnsi" w:hAnsiTheme="minorHAnsi" w:cstheme="minorHAnsi"/>
          <w:bCs/>
          <w:iCs/>
        </w:rPr>
        <w:t>cash and modified accrual).</w:t>
      </w:r>
      <w:r w:rsidR="00CD2699">
        <w:rPr>
          <w:rFonts w:asciiTheme="minorHAnsi" w:hAnsiTheme="minorHAnsi" w:cstheme="minorHAnsi"/>
          <w:bCs/>
          <w:iCs/>
        </w:rPr>
        <w:t xml:space="preserve">  WASBO also has</w:t>
      </w:r>
      <w:r w:rsidR="00883CD3">
        <w:rPr>
          <w:rFonts w:asciiTheme="minorHAnsi" w:hAnsiTheme="minorHAnsi" w:cstheme="minorHAnsi"/>
          <w:bCs/>
          <w:iCs/>
        </w:rPr>
        <w:t xml:space="preserve"> some on demand learning modules for the new lease accounting.</w:t>
      </w:r>
      <w:r w:rsidR="00CD2699">
        <w:rPr>
          <w:rFonts w:asciiTheme="minorHAnsi" w:hAnsiTheme="minorHAnsi" w:cstheme="minorHAnsi"/>
          <w:bCs/>
          <w:iCs/>
        </w:rPr>
        <w:t xml:space="preserve"> </w:t>
      </w:r>
      <w:r w:rsidR="00584D28" w:rsidRPr="00356FC7">
        <w:rPr>
          <w:rFonts w:asciiTheme="minorHAnsi" w:hAnsiTheme="minorHAnsi" w:cstheme="minorHAnsi"/>
          <w:bCs/>
          <w:iCs/>
        </w:rPr>
        <w:t xml:space="preserve">  </w:t>
      </w:r>
    </w:p>
    <w:p w:rsidR="00584D28" w:rsidRDefault="00D70C01" w:rsidP="002A54B0">
      <w:pPr>
        <w:pStyle w:val="ListParagraph"/>
        <w:rPr>
          <w:rFonts w:asciiTheme="minorHAnsi" w:hAnsiTheme="minorHAnsi" w:cstheme="minorHAnsi"/>
          <w:b/>
          <w:i/>
          <w:color w:val="FF0000"/>
        </w:rPr>
      </w:pPr>
      <w:r w:rsidRPr="00FE1409">
        <w:rPr>
          <w:rFonts w:asciiTheme="minorHAnsi" w:hAnsiTheme="minorHAnsi" w:cstheme="minorHAnsi"/>
          <w:b/>
          <w:i/>
          <w:color w:val="FF0000"/>
        </w:rPr>
        <w:t>D</w:t>
      </w:r>
      <w:r w:rsidR="00584D28" w:rsidRPr="00FE1409">
        <w:rPr>
          <w:rFonts w:asciiTheme="minorHAnsi" w:hAnsiTheme="minorHAnsi" w:cstheme="minorHAnsi"/>
          <w:b/>
          <w:i/>
          <w:color w:val="FF0000"/>
        </w:rPr>
        <w:t xml:space="preserve">istricts may experience edit warnings </w:t>
      </w:r>
      <w:r w:rsidR="002A54B0" w:rsidRPr="00FE1409">
        <w:rPr>
          <w:rFonts w:asciiTheme="minorHAnsi" w:hAnsiTheme="minorHAnsi" w:cstheme="minorHAnsi"/>
          <w:b/>
          <w:i/>
          <w:color w:val="FF0000"/>
        </w:rPr>
        <w:t xml:space="preserve">driven by </w:t>
      </w:r>
      <w:r w:rsidRPr="00FE1409">
        <w:rPr>
          <w:rFonts w:asciiTheme="minorHAnsi" w:hAnsiTheme="minorHAnsi" w:cstheme="minorHAnsi"/>
          <w:b/>
          <w:i/>
          <w:color w:val="FF0000"/>
        </w:rPr>
        <w:t xml:space="preserve">new lease entries on the </w:t>
      </w:r>
      <w:r w:rsidR="00584D28" w:rsidRPr="00FE1409">
        <w:rPr>
          <w:rFonts w:asciiTheme="minorHAnsi" w:hAnsiTheme="minorHAnsi" w:cstheme="minorHAnsi"/>
          <w:b/>
          <w:i/>
          <w:color w:val="FF0000"/>
        </w:rPr>
        <w:t xml:space="preserve">Schedule of Long-Term </w:t>
      </w:r>
      <w:r w:rsidRPr="00FE1409">
        <w:rPr>
          <w:rFonts w:asciiTheme="minorHAnsi" w:hAnsiTheme="minorHAnsi" w:cstheme="minorHAnsi"/>
          <w:b/>
          <w:i/>
          <w:color w:val="FF0000"/>
        </w:rPr>
        <w:t>Liabilities (SLTL)</w:t>
      </w:r>
      <w:r w:rsidR="00584D28" w:rsidRPr="00FE1409">
        <w:rPr>
          <w:rFonts w:asciiTheme="minorHAnsi" w:hAnsiTheme="minorHAnsi" w:cstheme="minorHAnsi"/>
          <w:b/>
          <w:i/>
          <w:color w:val="FF0000"/>
        </w:rPr>
        <w:t xml:space="preserve">.  </w:t>
      </w:r>
      <w:r w:rsidR="00FE1409">
        <w:rPr>
          <w:rFonts w:asciiTheme="minorHAnsi" w:hAnsiTheme="minorHAnsi" w:cstheme="minorHAnsi"/>
          <w:b/>
          <w:i/>
          <w:color w:val="FF0000"/>
        </w:rPr>
        <w:t>These are expected; however, it is important to understand and be able to explain all edits.</w:t>
      </w:r>
      <w:r w:rsidR="00584D28" w:rsidRPr="00FE1409">
        <w:rPr>
          <w:rFonts w:asciiTheme="minorHAnsi" w:hAnsiTheme="minorHAnsi" w:cstheme="minorHAnsi"/>
          <w:b/>
          <w:i/>
          <w:color w:val="FF0000"/>
        </w:rPr>
        <w:t xml:space="preserve">    </w:t>
      </w:r>
    </w:p>
    <w:p w:rsidR="00765392" w:rsidRDefault="00765392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A321F3" w:rsidRPr="00356FC7" w:rsidRDefault="005459E9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356FC7">
        <w:rPr>
          <w:rFonts w:asciiTheme="minorHAnsi" w:hAnsiTheme="minorHAnsi" w:cstheme="minorHAnsi"/>
          <w:b/>
          <w:bCs/>
          <w:i/>
          <w:iCs/>
          <w:u w:val="single"/>
        </w:rPr>
        <w:t xml:space="preserve">CONTINUING </w:t>
      </w:r>
      <w:r w:rsidR="00A321F3" w:rsidRPr="00356FC7">
        <w:rPr>
          <w:rFonts w:asciiTheme="minorHAnsi" w:hAnsiTheme="minorHAnsi" w:cstheme="minorHAnsi"/>
          <w:b/>
          <w:bCs/>
          <w:i/>
          <w:iCs/>
          <w:u w:val="single"/>
        </w:rPr>
        <w:t>THIS YEAR</w:t>
      </w:r>
    </w:p>
    <w:p w:rsidR="00432FCD" w:rsidRPr="00356FC7" w:rsidRDefault="00432FCD" w:rsidP="00432FC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NCES</w:t>
      </w:r>
      <w:r w:rsidR="00EB4F76" w:rsidRPr="00356FC7">
        <w:rPr>
          <w:rFonts w:asciiTheme="minorHAnsi" w:hAnsiTheme="minorHAnsi" w:cstheme="minorHAnsi"/>
        </w:rPr>
        <w:t xml:space="preserve"> and </w:t>
      </w:r>
      <w:r w:rsidRPr="00356FC7">
        <w:rPr>
          <w:rFonts w:asciiTheme="minorHAnsi" w:hAnsiTheme="minorHAnsi" w:cstheme="minorHAnsi"/>
        </w:rPr>
        <w:t>Sub-Fund reporting included in the F-196</w:t>
      </w:r>
    </w:p>
    <w:p w:rsidR="00765392" w:rsidRDefault="00765392" w:rsidP="00765392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356FC7" w:rsidRPr="00356FC7" w:rsidRDefault="00356FC7" w:rsidP="00F553F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356FC7">
        <w:rPr>
          <w:rFonts w:asciiTheme="minorHAnsi" w:hAnsiTheme="minorHAnsi" w:cstheme="minorHAnsi"/>
          <w:bCs/>
        </w:rPr>
        <w:t>Schedule of Expenditures of Federal Awards (SEFA)</w:t>
      </w:r>
    </w:p>
    <w:p w:rsidR="002F07CF" w:rsidRDefault="002F07CF" w:rsidP="002F07CF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Before finaliz</w:t>
      </w:r>
      <w:r>
        <w:rPr>
          <w:rFonts w:asciiTheme="minorHAnsi" w:hAnsiTheme="minorHAnsi" w:cstheme="minorHAnsi"/>
        </w:rPr>
        <w:t xml:space="preserve">ing the </w:t>
      </w:r>
      <w:r w:rsidRPr="00356FC7">
        <w:rPr>
          <w:rFonts w:asciiTheme="minorHAnsi" w:hAnsiTheme="minorHAnsi" w:cstheme="minorHAnsi"/>
        </w:rPr>
        <w:t xml:space="preserve">F-196, </w:t>
      </w:r>
      <w:r w:rsidRPr="002F07CF">
        <w:rPr>
          <w:rFonts w:asciiTheme="minorHAnsi" w:hAnsiTheme="minorHAnsi" w:cstheme="minorHAnsi"/>
          <w:b/>
          <w:bCs/>
        </w:rPr>
        <w:t xml:space="preserve">it is strongly recommended </w:t>
      </w:r>
      <w:r w:rsidRPr="002F07CF">
        <w:rPr>
          <w:rFonts w:asciiTheme="minorHAnsi" w:hAnsiTheme="minorHAnsi" w:cstheme="minorHAnsi"/>
        </w:rPr>
        <w:t>that you prepare your SEFA.</w:t>
      </w:r>
      <w:r w:rsidRPr="00356FC7">
        <w:rPr>
          <w:rFonts w:asciiTheme="minorHAnsi" w:hAnsiTheme="minorHAnsi" w:cstheme="minorHAnsi"/>
        </w:rPr>
        <w:t xml:space="preserve"> By preparing the SEFA </w:t>
      </w:r>
      <w:r>
        <w:rPr>
          <w:rFonts w:asciiTheme="minorHAnsi" w:hAnsiTheme="minorHAnsi" w:cstheme="minorHAnsi"/>
        </w:rPr>
        <w:t xml:space="preserve">early, the district may discover corrections needed to the financial records. </w:t>
      </w:r>
    </w:p>
    <w:p w:rsidR="002F07CF" w:rsidRPr="00356FC7" w:rsidRDefault="002F07CF" w:rsidP="002F07CF">
      <w:pPr>
        <w:pStyle w:val="ListParagraph"/>
        <w:ind w:left="360"/>
        <w:rPr>
          <w:rFonts w:asciiTheme="minorHAnsi" w:hAnsiTheme="minorHAnsi" w:cstheme="minorHAnsi"/>
        </w:rPr>
      </w:pPr>
    </w:p>
    <w:p w:rsidR="00356FC7" w:rsidRDefault="00551FDF" w:rsidP="00356FC7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  <w:bCs/>
        </w:rPr>
        <w:t xml:space="preserve">School districts will upload their SEFA through SAO’s online services page.   Here is the </w:t>
      </w:r>
      <w:hyperlink r:id="rId14" w:history="1">
        <w:r w:rsidRPr="00356FC7">
          <w:rPr>
            <w:rStyle w:val="Hyperlink"/>
            <w:rFonts w:asciiTheme="minorHAnsi" w:hAnsiTheme="minorHAnsi" w:cstheme="minorHAnsi"/>
            <w:bCs/>
          </w:rPr>
          <w:t>link</w:t>
        </w:r>
      </w:hyperlink>
      <w:r w:rsidRPr="00356FC7">
        <w:rPr>
          <w:rFonts w:asciiTheme="minorHAnsi" w:hAnsiTheme="minorHAnsi" w:cstheme="minorHAnsi"/>
          <w:bCs/>
        </w:rPr>
        <w:t xml:space="preserve"> to SAO’s portal (login required).  </w:t>
      </w:r>
      <w:r w:rsidR="00C315AD" w:rsidRPr="00356FC7">
        <w:rPr>
          <w:rFonts w:asciiTheme="minorHAnsi" w:hAnsiTheme="minorHAnsi" w:cstheme="minorHAnsi"/>
          <w:bCs/>
        </w:rPr>
        <w:t>Districts</w:t>
      </w:r>
      <w:r w:rsidRPr="00356FC7">
        <w:rPr>
          <w:rFonts w:asciiTheme="minorHAnsi" w:hAnsiTheme="minorHAnsi" w:cstheme="minorHAnsi"/>
          <w:bCs/>
        </w:rPr>
        <w:t xml:space="preserve"> receive a</w:t>
      </w:r>
      <w:r w:rsidR="00A466F9">
        <w:rPr>
          <w:rFonts w:asciiTheme="minorHAnsi" w:hAnsiTheme="minorHAnsi" w:cstheme="minorHAnsi"/>
          <w:bCs/>
        </w:rPr>
        <w:t xml:space="preserve">n annual </w:t>
      </w:r>
      <w:r w:rsidRPr="00356FC7">
        <w:rPr>
          <w:rFonts w:asciiTheme="minorHAnsi" w:hAnsiTheme="minorHAnsi" w:cstheme="minorHAnsi"/>
          <w:bCs/>
        </w:rPr>
        <w:t xml:space="preserve">communication from SAO regarding </w:t>
      </w:r>
      <w:r w:rsidR="00A321F3" w:rsidRPr="00356FC7">
        <w:rPr>
          <w:rFonts w:asciiTheme="minorHAnsi" w:hAnsiTheme="minorHAnsi" w:cstheme="minorHAnsi"/>
          <w:bCs/>
        </w:rPr>
        <w:t>SEFA reporting</w:t>
      </w:r>
      <w:r w:rsidR="00A466F9">
        <w:rPr>
          <w:rFonts w:asciiTheme="minorHAnsi" w:hAnsiTheme="minorHAnsi" w:cstheme="minorHAnsi"/>
          <w:bCs/>
        </w:rPr>
        <w:t xml:space="preserve">.  </w:t>
      </w:r>
    </w:p>
    <w:p w:rsidR="00A466F9" w:rsidRDefault="00A466F9" w:rsidP="002350AB">
      <w:pPr>
        <w:rPr>
          <w:rFonts w:asciiTheme="minorHAnsi" w:hAnsiTheme="minorHAnsi" w:cstheme="minorHAnsi"/>
          <w:bCs/>
        </w:rPr>
      </w:pPr>
    </w:p>
    <w:p w:rsidR="00765392" w:rsidRDefault="00765392" w:rsidP="002350AB">
      <w:pPr>
        <w:rPr>
          <w:rFonts w:asciiTheme="minorHAnsi" w:hAnsiTheme="minorHAnsi" w:cstheme="minorHAnsi"/>
          <w:bCs/>
        </w:rPr>
      </w:pPr>
    </w:p>
    <w:p w:rsidR="00A466F9" w:rsidRPr="00A466F9" w:rsidRDefault="00A466F9" w:rsidP="00A466F9">
      <w:pPr>
        <w:rPr>
          <w:rFonts w:asciiTheme="minorHAnsi" w:hAnsiTheme="minorHAnsi" w:cstheme="minorHAnsi"/>
          <w:b/>
          <w:bCs/>
          <w:i/>
          <w:iCs/>
        </w:rPr>
      </w:pPr>
      <w:r w:rsidRPr="00A466F9">
        <w:rPr>
          <w:rFonts w:asciiTheme="minorHAnsi" w:hAnsiTheme="minorHAnsi" w:cstheme="minorHAnsi"/>
          <w:b/>
          <w:bCs/>
          <w:i/>
          <w:iCs/>
          <w:u w:val="single"/>
        </w:rPr>
        <w:t>Additional reminders that may help you in your preparation of the F-196</w:t>
      </w:r>
    </w:p>
    <w:p w:rsidR="00A466F9" w:rsidRPr="00356FC7" w:rsidRDefault="00A466F9" w:rsidP="00A466F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>Miscellaneous Items</w:t>
      </w:r>
    </w:p>
    <w:p w:rsidR="00A466F9" w:rsidRPr="00356FC7" w:rsidRDefault="00A466F9" w:rsidP="00A466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Remember to do final time &amp; effort adjustments, grant reconciliations, revenue accruals and expenditure accruals.</w:t>
      </w:r>
    </w:p>
    <w:p w:rsidR="00A466F9" w:rsidRPr="00356FC7" w:rsidRDefault="00A466F9" w:rsidP="00A466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Remember to adjust inventories and book food service commodities.</w:t>
      </w:r>
    </w:p>
    <w:p w:rsidR="00A466F9" w:rsidRPr="00356FC7" w:rsidRDefault="00A466F9" w:rsidP="00A466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Reconcile all General Ledger trial balance accounts for each fund.  Review the annual entries section in the Accounting Manual (Chapter 7 - General Journal Entries) for some common year end entries. </w:t>
      </w:r>
      <w:hyperlink r:id="rId15" w:history="1">
        <w:r w:rsidRPr="00356FC7">
          <w:rPr>
            <w:rStyle w:val="Hyperlink"/>
            <w:rFonts w:asciiTheme="minorHAnsi" w:hAnsiTheme="minorHAnsi" w:cstheme="minorHAnsi"/>
          </w:rPr>
          <w:t>https://www.k12.wa.us/sites/default/files/public/safs/ins/acc/2021/2021_01_SDAM_Complete_Manual.pdf</w:t>
        </w:r>
      </w:hyperlink>
      <w:r w:rsidRPr="00356FC7">
        <w:rPr>
          <w:rFonts w:asciiTheme="minorHAnsi" w:hAnsiTheme="minorHAnsi" w:cstheme="minorHAnsi"/>
        </w:rPr>
        <w:t xml:space="preserve"> </w:t>
      </w:r>
    </w:p>
    <w:p w:rsidR="00A466F9" w:rsidRPr="00356FC7" w:rsidRDefault="00A466F9" w:rsidP="00A466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Remember to adjust your taxes receivable.</w:t>
      </w:r>
    </w:p>
    <w:p w:rsidR="00A466F9" w:rsidRPr="00356FC7" w:rsidRDefault="00A466F9" w:rsidP="00A466F9">
      <w:pPr>
        <w:rPr>
          <w:rFonts w:asciiTheme="minorHAnsi" w:hAnsiTheme="minorHAnsi" w:cstheme="minorHAnsi"/>
        </w:rPr>
      </w:pPr>
    </w:p>
    <w:p w:rsidR="00A466F9" w:rsidRPr="00356FC7" w:rsidRDefault="00A466F9" w:rsidP="00A466F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 xml:space="preserve">County Treasurer (CT) Reports / F-197 Verification </w:t>
      </w:r>
    </w:p>
    <w:p w:rsidR="00A466F9" w:rsidRPr="00356FC7" w:rsidRDefault="00A466F9" w:rsidP="00A466F9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Remember to reconcile </w:t>
      </w:r>
      <w:r w:rsidR="00E7601C">
        <w:rPr>
          <w:rFonts w:asciiTheme="minorHAnsi" w:hAnsiTheme="minorHAnsi" w:cstheme="minorHAnsi"/>
        </w:rPr>
        <w:t xml:space="preserve">the </w:t>
      </w:r>
      <w:r w:rsidRPr="00356FC7">
        <w:rPr>
          <w:rFonts w:asciiTheme="minorHAnsi" w:hAnsiTheme="minorHAnsi" w:cstheme="minorHAnsi"/>
        </w:rPr>
        <w:t xml:space="preserve">CT reports monthly and document the reconciliation </w:t>
      </w:r>
      <w:r w:rsidR="00E7601C">
        <w:rPr>
          <w:rFonts w:asciiTheme="minorHAnsi" w:hAnsiTheme="minorHAnsi" w:cstheme="minorHAnsi"/>
        </w:rPr>
        <w:t>(</w:t>
      </w:r>
      <w:r w:rsidRPr="00356FC7">
        <w:rPr>
          <w:rFonts w:asciiTheme="minorHAnsi" w:hAnsiTheme="minorHAnsi" w:cstheme="minorHAnsi"/>
        </w:rPr>
        <w:t>auditors</w:t>
      </w:r>
      <w:r w:rsidR="00E7601C">
        <w:rPr>
          <w:rFonts w:asciiTheme="minorHAnsi" w:hAnsiTheme="minorHAnsi" w:cstheme="minorHAnsi"/>
        </w:rPr>
        <w:t xml:space="preserve"> </w:t>
      </w:r>
      <w:r w:rsidR="001D29FB">
        <w:rPr>
          <w:rFonts w:asciiTheme="minorHAnsi" w:hAnsiTheme="minorHAnsi" w:cstheme="minorHAnsi"/>
        </w:rPr>
        <w:t>routinely review</w:t>
      </w:r>
      <w:r w:rsidR="00E7601C">
        <w:rPr>
          <w:rFonts w:asciiTheme="minorHAnsi" w:hAnsiTheme="minorHAnsi" w:cstheme="minorHAnsi"/>
        </w:rPr>
        <w:t>)</w:t>
      </w:r>
      <w:r w:rsidRPr="00356FC7">
        <w:rPr>
          <w:rFonts w:asciiTheme="minorHAnsi" w:hAnsiTheme="minorHAnsi" w:cstheme="minorHAnsi"/>
        </w:rPr>
        <w:t xml:space="preserve">.  </w:t>
      </w:r>
      <w:r w:rsidR="00E7601C">
        <w:rPr>
          <w:rFonts w:asciiTheme="minorHAnsi" w:hAnsiTheme="minorHAnsi" w:cstheme="minorHAnsi"/>
        </w:rPr>
        <w:t xml:space="preserve">Verify </w:t>
      </w:r>
      <w:r w:rsidRPr="00356FC7">
        <w:rPr>
          <w:rFonts w:asciiTheme="minorHAnsi" w:hAnsiTheme="minorHAnsi" w:cstheme="minorHAnsi"/>
        </w:rPr>
        <w:t xml:space="preserve">the F-197 data out of the EDS system agrees with </w:t>
      </w:r>
      <w:r w:rsidR="00E7601C">
        <w:rPr>
          <w:rFonts w:asciiTheme="minorHAnsi" w:hAnsiTheme="minorHAnsi" w:cstheme="minorHAnsi"/>
        </w:rPr>
        <w:t xml:space="preserve">the </w:t>
      </w:r>
      <w:r w:rsidRPr="00356FC7">
        <w:rPr>
          <w:rFonts w:asciiTheme="minorHAnsi" w:hAnsiTheme="minorHAnsi" w:cstheme="minorHAnsi"/>
        </w:rPr>
        <w:t xml:space="preserve">CT reports </w:t>
      </w:r>
      <w:r w:rsidR="00E7601C">
        <w:rPr>
          <w:rFonts w:asciiTheme="minorHAnsi" w:hAnsiTheme="minorHAnsi" w:cstheme="minorHAnsi"/>
        </w:rPr>
        <w:t xml:space="preserve">as </w:t>
      </w:r>
      <w:r w:rsidRPr="00356FC7">
        <w:rPr>
          <w:rFonts w:asciiTheme="minorHAnsi" w:hAnsiTheme="minorHAnsi" w:cstheme="minorHAnsi"/>
        </w:rPr>
        <w:t>entries in EDS are manual</w:t>
      </w:r>
      <w:r w:rsidR="00E7601C">
        <w:rPr>
          <w:rFonts w:asciiTheme="minorHAnsi" w:hAnsiTheme="minorHAnsi" w:cstheme="minorHAnsi"/>
        </w:rPr>
        <w:t xml:space="preserve"> (if</w:t>
      </w:r>
      <w:r w:rsidRPr="00356FC7">
        <w:rPr>
          <w:rFonts w:asciiTheme="minorHAnsi" w:hAnsiTheme="minorHAnsi" w:cstheme="minorHAnsi"/>
        </w:rPr>
        <w:t xml:space="preserve"> there is a discrepancy, </w:t>
      </w:r>
      <w:r w:rsidR="00E7601C">
        <w:rPr>
          <w:rFonts w:asciiTheme="minorHAnsi" w:hAnsiTheme="minorHAnsi" w:cstheme="minorHAnsi"/>
        </w:rPr>
        <w:t xml:space="preserve">notify me immediately </w:t>
      </w:r>
      <w:r w:rsidRPr="00356FC7">
        <w:rPr>
          <w:rFonts w:asciiTheme="minorHAnsi" w:hAnsiTheme="minorHAnsi" w:cstheme="minorHAnsi"/>
        </w:rPr>
        <w:t>so the amounts may be updated</w:t>
      </w:r>
      <w:r w:rsidR="00E7601C">
        <w:rPr>
          <w:rFonts w:asciiTheme="minorHAnsi" w:hAnsiTheme="minorHAnsi" w:cstheme="minorHAnsi"/>
        </w:rPr>
        <w:t>)</w:t>
      </w:r>
      <w:r w:rsidRPr="00356FC7">
        <w:rPr>
          <w:rFonts w:asciiTheme="minorHAnsi" w:hAnsiTheme="minorHAnsi" w:cstheme="minorHAnsi"/>
        </w:rPr>
        <w:t>.</w:t>
      </w:r>
    </w:p>
    <w:p w:rsidR="007619F4" w:rsidRDefault="007619F4" w:rsidP="007619F4">
      <w:pPr>
        <w:rPr>
          <w:rFonts w:asciiTheme="minorHAnsi" w:hAnsiTheme="minorHAnsi" w:cstheme="minorHAnsi"/>
          <w:bCs/>
        </w:rPr>
      </w:pPr>
    </w:p>
    <w:p w:rsidR="00123484" w:rsidRPr="00356FC7" w:rsidRDefault="00123484" w:rsidP="0012348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>General F-196 Review</w:t>
      </w:r>
    </w:p>
    <w:p w:rsidR="00A466F9" w:rsidRDefault="00123484" w:rsidP="00123484">
      <w:pPr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Review the F-196 to make sure it matches your general ledger system and that all data correctly transferred.  </w:t>
      </w:r>
      <w:r w:rsidRPr="001D29FB">
        <w:rPr>
          <w:rFonts w:asciiTheme="minorHAnsi" w:hAnsiTheme="minorHAnsi" w:cstheme="minorHAnsi"/>
          <w:b/>
          <w:bCs/>
          <w:highlight w:val="yellow"/>
        </w:rPr>
        <w:t>Save often and run edits each time data is imported.</w:t>
      </w:r>
    </w:p>
    <w:p w:rsidR="00123484" w:rsidRDefault="00123484" w:rsidP="00123484">
      <w:pPr>
        <w:rPr>
          <w:rFonts w:asciiTheme="minorHAnsi" w:hAnsiTheme="minorHAnsi" w:cstheme="minorHAnsi"/>
          <w:b/>
          <w:bCs/>
          <w:u w:val="single"/>
        </w:rPr>
      </w:pPr>
    </w:p>
    <w:p w:rsidR="00765392" w:rsidRDefault="00765392" w:rsidP="00123484">
      <w:pPr>
        <w:rPr>
          <w:rFonts w:asciiTheme="minorHAnsi" w:hAnsiTheme="minorHAnsi" w:cstheme="minorHAnsi"/>
          <w:b/>
          <w:bCs/>
          <w:u w:val="single"/>
        </w:rPr>
      </w:pPr>
    </w:p>
    <w:p w:rsidR="00A466F9" w:rsidRPr="00A466F9" w:rsidRDefault="00A466F9" w:rsidP="00A466F9">
      <w:pPr>
        <w:rPr>
          <w:rFonts w:asciiTheme="minorHAnsi" w:hAnsiTheme="minorHAnsi" w:cstheme="minorHAnsi"/>
          <w:b/>
          <w:bCs/>
          <w:i/>
          <w:iCs/>
        </w:rPr>
      </w:pPr>
      <w:r w:rsidRPr="00A466F9">
        <w:rPr>
          <w:rFonts w:asciiTheme="minorHAnsi" w:hAnsiTheme="minorHAnsi" w:cstheme="minorHAnsi"/>
          <w:b/>
          <w:bCs/>
          <w:i/>
          <w:iCs/>
          <w:u w:val="single"/>
        </w:rPr>
        <w:t xml:space="preserve">F-196 </w:t>
      </w:r>
      <w:r w:rsidR="001D29FB">
        <w:rPr>
          <w:rFonts w:asciiTheme="minorHAnsi" w:hAnsiTheme="minorHAnsi" w:cstheme="minorHAnsi"/>
          <w:b/>
          <w:bCs/>
          <w:i/>
          <w:iCs/>
          <w:u w:val="single"/>
        </w:rPr>
        <w:t xml:space="preserve">Manual </w:t>
      </w:r>
      <w:r w:rsidRPr="00A466F9">
        <w:rPr>
          <w:rFonts w:asciiTheme="minorHAnsi" w:hAnsiTheme="minorHAnsi" w:cstheme="minorHAnsi"/>
          <w:b/>
          <w:bCs/>
          <w:i/>
          <w:iCs/>
          <w:u w:val="single"/>
        </w:rPr>
        <w:t>Entries in the EDS Application</w:t>
      </w:r>
      <w:r w:rsidRPr="00A466F9">
        <w:rPr>
          <w:rFonts w:asciiTheme="minorHAnsi" w:hAnsiTheme="minorHAnsi" w:cstheme="minorHAnsi"/>
          <w:b/>
          <w:bCs/>
          <w:i/>
          <w:iCs/>
        </w:rPr>
        <w:t xml:space="preserve">  </w:t>
      </w:r>
    </w:p>
    <w:p w:rsidR="00A466F9" w:rsidRPr="00356FC7" w:rsidRDefault="00A466F9" w:rsidP="00A466F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>Schedule of Long-Term Liabilities</w:t>
      </w:r>
    </w:p>
    <w:p w:rsidR="00A466F9" w:rsidRPr="00356FC7" w:rsidRDefault="00A466F9" w:rsidP="00A466F9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Remember to enter the amount due within one year.</w:t>
      </w:r>
    </w:p>
    <w:p w:rsidR="00A466F9" w:rsidRPr="00356FC7" w:rsidRDefault="00A466F9" w:rsidP="00A466F9">
      <w:pPr>
        <w:pStyle w:val="ListParagraph"/>
        <w:ind w:left="360"/>
        <w:rPr>
          <w:rFonts w:asciiTheme="minorHAnsi" w:hAnsiTheme="minorHAnsi" w:cstheme="minorHAnsi"/>
        </w:rPr>
      </w:pPr>
    </w:p>
    <w:p w:rsidR="00A466F9" w:rsidRPr="00356FC7" w:rsidRDefault="00A466F9" w:rsidP="00A466F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>Data Requirements for Supplemental Reports</w:t>
      </w:r>
    </w:p>
    <w:p w:rsidR="00FB3696" w:rsidRDefault="00A466F9" w:rsidP="00A466F9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Most common entries are E-Rate, Impact Fees, Cost-of-Living </w:t>
      </w:r>
      <w:r w:rsidR="00DB2518">
        <w:rPr>
          <w:rFonts w:asciiTheme="minorHAnsi" w:hAnsiTheme="minorHAnsi" w:cstheme="minorHAnsi"/>
        </w:rPr>
        <w:t>I</w:t>
      </w:r>
      <w:r w:rsidRPr="00356FC7">
        <w:rPr>
          <w:rFonts w:asciiTheme="minorHAnsi" w:hAnsiTheme="minorHAnsi" w:cstheme="minorHAnsi"/>
        </w:rPr>
        <w:t xml:space="preserve">ncrease and Fire District Payment.  </w:t>
      </w:r>
    </w:p>
    <w:p w:rsidR="00A466F9" w:rsidRPr="00356FC7" w:rsidRDefault="00A466F9" w:rsidP="00A466F9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E-Rate dollars should be reflected under revenue 2910</w:t>
      </w:r>
      <w:r w:rsidR="00761CF3">
        <w:rPr>
          <w:rFonts w:asciiTheme="minorHAnsi" w:hAnsiTheme="minorHAnsi" w:cstheme="minorHAnsi"/>
        </w:rPr>
        <w:t xml:space="preserve"> (GFL, CPF)</w:t>
      </w:r>
      <w:r w:rsidRPr="00356FC7">
        <w:rPr>
          <w:rFonts w:asciiTheme="minorHAnsi" w:hAnsiTheme="minorHAnsi" w:cstheme="minorHAnsi"/>
        </w:rPr>
        <w:t xml:space="preserve">. </w:t>
      </w:r>
    </w:p>
    <w:p w:rsidR="00765392" w:rsidRDefault="00765392" w:rsidP="00A466F9">
      <w:pPr>
        <w:rPr>
          <w:rFonts w:asciiTheme="minorHAnsi" w:hAnsiTheme="minorHAnsi" w:cstheme="minorHAnsi"/>
        </w:rPr>
      </w:pPr>
    </w:p>
    <w:p w:rsidR="00765392" w:rsidRPr="00356FC7" w:rsidRDefault="00765392" w:rsidP="00A466F9">
      <w:pPr>
        <w:rPr>
          <w:rFonts w:asciiTheme="minorHAnsi" w:hAnsiTheme="minorHAnsi" w:cstheme="minorHAnsi"/>
        </w:rPr>
      </w:pPr>
    </w:p>
    <w:p w:rsidR="00A466F9" w:rsidRPr="00356FC7" w:rsidRDefault="00A466F9" w:rsidP="00A466F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>Distorting Items</w:t>
      </w:r>
    </w:p>
    <w:p w:rsidR="00A466F9" w:rsidRDefault="00A466F9" w:rsidP="00A466F9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Manually enter applicable distorting items coded to program 97.  The most common item entered is election costs (#2).</w:t>
      </w:r>
    </w:p>
    <w:p w:rsidR="00080641" w:rsidRPr="00356FC7" w:rsidRDefault="00080641" w:rsidP="00A466F9">
      <w:pPr>
        <w:pStyle w:val="ListParagraph"/>
        <w:ind w:left="360"/>
        <w:rPr>
          <w:rFonts w:asciiTheme="minorHAnsi" w:hAnsiTheme="minorHAnsi" w:cstheme="minorHAnsi"/>
        </w:rPr>
      </w:pPr>
    </w:p>
    <w:p w:rsidR="00A466F9" w:rsidRPr="00356FC7" w:rsidRDefault="00A466F9" w:rsidP="00A466F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>Indirect Expenditures</w:t>
      </w:r>
    </w:p>
    <w:p w:rsidR="00A466F9" w:rsidRPr="00356FC7" w:rsidRDefault="00A466F9" w:rsidP="00A466F9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Manually enter applicable indirect costs coded to program 97.  </w:t>
      </w:r>
      <w:r w:rsidRPr="00356FC7">
        <w:rPr>
          <w:rFonts w:asciiTheme="minorHAnsi" w:hAnsiTheme="minorHAnsi" w:cstheme="minorHAnsi"/>
          <w:b/>
          <w:i/>
          <w:u w:val="single"/>
        </w:rPr>
        <w:t>Do not include object 9 expenditures in any of the amounts.</w:t>
      </w:r>
      <w:r w:rsidRPr="00356FC7">
        <w:rPr>
          <w:rFonts w:asciiTheme="minorHAnsi" w:hAnsiTheme="minorHAnsi" w:cstheme="minorHAnsi"/>
        </w:rPr>
        <w:t xml:space="preserve">  Be sure to reference the F-196 instructions to identify allowable expenditures.  Many of these items have exclusions, restrictions and/or limitations.  </w:t>
      </w:r>
    </w:p>
    <w:p w:rsidR="00A466F9" w:rsidRPr="00356FC7" w:rsidRDefault="00A466F9" w:rsidP="00A466F9">
      <w:pPr>
        <w:pStyle w:val="ListParagraph"/>
        <w:ind w:left="360"/>
        <w:rPr>
          <w:rFonts w:asciiTheme="minorHAnsi" w:hAnsiTheme="minorHAnsi" w:cstheme="minorHAnsi"/>
          <w:b/>
          <w:i/>
          <w:u w:val="single"/>
        </w:rPr>
      </w:pPr>
      <w:r w:rsidRPr="00356FC7">
        <w:rPr>
          <w:rFonts w:asciiTheme="minorHAnsi" w:hAnsiTheme="minorHAnsi" w:cstheme="minorHAnsi"/>
        </w:rPr>
        <w:t>The most common item numbers entered are:</w:t>
      </w:r>
    </w:p>
    <w:p w:rsidR="00A466F9" w:rsidRPr="00356FC7" w:rsidRDefault="00A466F9" w:rsidP="00A466F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#18. Activity 11 audit costs</w:t>
      </w:r>
    </w:p>
    <w:p w:rsidR="00A466F9" w:rsidRPr="00356FC7" w:rsidRDefault="00A466F9" w:rsidP="00A466F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#19. Activity 11 legal costs (these are very restrictive)</w:t>
      </w:r>
    </w:p>
    <w:p w:rsidR="00A466F9" w:rsidRPr="00356FC7" w:rsidRDefault="00A466F9" w:rsidP="00A466F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#20. Activity 12 costs for Superintendent, Deputy Superintendents, or Assistant Superintendents whose responsibilities are allocable to indirect cost Activities 13, 14 and 72-75 (very small districts)</w:t>
      </w:r>
    </w:p>
    <w:p w:rsidR="00A466F9" w:rsidRPr="00356FC7" w:rsidRDefault="00A466F9" w:rsidP="00A466F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#21. Activity 15 public relations</w:t>
      </w:r>
    </w:p>
    <w:p w:rsidR="00A466F9" w:rsidRPr="00356FC7" w:rsidRDefault="00A466F9" w:rsidP="00A466F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#22. Termination leave for federally supported staff charged to a state or local program (excluding leaves charged to Program 97, Activity 13 or 14)</w:t>
      </w:r>
    </w:p>
    <w:p w:rsidR="00A466F9" w:rsidRPr="00356FC7" w:rsidRDefault="00A466F9" w:rsidP="00A466F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#23. Activity 72 districtwide information systems (excluding student records)</w:t>
      </w:r>
    </w:p>
    <w:p w:rsidR="00A466F9" w:rsidRPr="00356FC7" w:rsidRDefault="00A466F9" w:rsidP="007619F4">
      <w:pPr>
        <w:rPr>
          <w:rFonts w:asciiTheme="minorHAnsi" w:hAnsiTheme="minorHAnsi" w:cstheme="minorHAnsi"/>
          <w:bCs/>
        </w:rPr>
      </w:pPr>
    </w:p>
    <w:p w:rsidR="002F07CF" w:rsidRPr="00356FC7" w:rsidRDefault="002F07CF" w:rsidP="002F07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 w:rsidRPr="00356FC7">
        <w:rPr>
          <w:rFonts w:asciiTheme="minorHAnsi" w:hAnsiTheme="minorHAnsi" w:cstheme="minorHAnsi"/>
          <w:b/>
        </w:rPr>
        <w:t>Resource to Program Expenditure Report</w:t>
      </w:r>
      <w:r w:rsidR="001D29FB">
        <w:rPr>
          <w:rFonts w:asciiTheme="minorHAnsi" w:hAnsiTheme="minorHAnsi" w:cstheme="minorHAnsi"/>
          <w:b/>
        </w:rPr>
        <w:t xml:space="preserve"> (program expenditures are auto populated)</w:t>
      </w:r>
    </w:p>
    <w:p w:rsidR="002F07CF" w:rsidRPr="00356FC7" w:rsidRDefault="002F07CF" w:rsidP="002F07CF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When preparing the Resource to Program Expenditure report in the F-196, reconcile your grand totals for State Resources and Federal Resources to your revenue totals (plus or minus carryover-over and recovery for State).  Check to make sure Federal programs are funded only by Federal resources.</w:t>
      </w:r>
      <w:r w:rsidR="001D29FB">
        <w:rPr>
          <w:rFonts w:asciiTheme="minorHAnsi" w:hAnsiTheme="minorHAnsi" w:cstheme="minorHAnsi"/>
        </w:rPr>
        <w:t xml:space="preserve"> </w:t>
      </w:r>
      <w:r w:rsidR="001D29FB" w:rsidRPr="001D29FB">
        <w:rPr>
          <w:rFonts w:asciiTheme="minorHAnsi" w:hAnsiTheme="minorHAnsi" w:cstheme="minorHAnsi"/>
          <w:b/>
          <w:bCs/>
        </w:rPr>
        <w:t>NOTE: there is no prescribed method to complete this report.</w:t>
      </w:r>
    </w:p>
    <w:p w:rsidR="002F07CF" w:rsidRDefault="002F07CF" w:rsidP="002350AB">
      <w:pPr>
        <w:rPr>
          <w:rFonts w:asciiTheme="minorHAnsi" w:hAnsiTheme="minorHAnsi" w:cstheme="minorHAnsi"/>
          <w:b/>
          <w:sz w:val="28"/>
          <w:szCs w:val="28"/>
        </w:rPr>
      </w:pPr>
    </w:p>
    <w:p w:rsidR="00765392" w:rsidRDefault="00765392" w:rsidP="002350AB">
      <w:pPr>
        <w:rPr>
          <w:rFonts w:asciiTheme="minorHAnsi" w:hAnsiTheme="minorHAnsi" w:cstheme="minorHAnsi"/>
          <w:b/>
          <w:sz w:val="28"/>
          <w:szCs w:val="28"/>
        </w:rPr>
      </w:pPr>
    </w:p>
    <w:p w:rsidR="002350AB" w:rsidRPr="00FE1409" w:rsidRDefault="002350AB" w:rsidP="002350AB">
      <w:pPr>
        <w:rPr>
          <w:rFonts w:asciiTheme="minorHAnsi" w:hAnsiTheme="minorHAnsi" w:cstheme="minorHAnsi"/>
          <w:b/>
          <w:sz w:val="28"/>
          <w:szCs w:val="28"/>
        </w:rPr>
      </w:pPr>
      <w:r w:rsidRPr="00FE1409">
        <w:rPr>
          <w:rFonts w:asciiTheme="minorHAnsi" w:hAnsiTheme="minorHAnsi" w:cstheme="minorHAnsi"/>
          <w:b/>
          <w:sz w:val="28"/>
          <w:szCs w:val="28"/>
        </w:rPr>
        <w:t xml:space="preserve">OSPI year-end tools located under </w:t>
      </w:r>
      <w:hyperlink r:id="rId16" w:history="1">
        <w:r w:rsidRPr="00FE1409">
          <w:rPr>
            <w:rStyle w:val="Hyperlink"/>
            <w:rFonts w:asciiTheme="minorHAnsi" w:hAnsiTheme="minorHAnsi" w:cstheme="minorHAnsi"/>
            <w:b/>
            <w:sz w:val="28"/>
            <w:szCs w:val="28"/>
          </w:rPr>
          <w:t>Tools and Forms</w:t>
        </w:r>
      </w:hyperlink>
      <w:r w:rsidRPr="00FE1409">
        <w:rPr>
          <w:rFonts w:asciiTheme="minorHAnsi" w:hAnsiTheme="minorHAnsi" w:cstheme="minorHAnsi"/>
          <w:b/>
          <w:sz w:val="28"/>
          <w:szCs w:val="28"/>
        </w:rPr>
        <w:t xml:space="preserve"> (click on Tools)</w:t>
      </w:r>
    </w:p>
    <w:p w:rsidR="002350AB" w:rsidRPr="00356FC7" w:rsidRDefault="002350AB" w:rsidP="002350AB">
      <w:pPr>
        <w:pStyle w:val="ListParagraph"/>
        <w:ind w:left="360"/>
        <w:rPr>
          <w:rFonts w:asciiTheme="minorHAnsi" w:hAnsiTheme="minorHAnsi" w:cstheme="minorHAnsi"/>
        </w:rPr>
      </w:pPr>
    </w:p>
    <w:p w:rsidR="002350AB" w:rsidRPr="00E23BE6" w:rsidRDefault="008D4568" w:rsidP="002350A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05766"/>
        </w:rPr>
      </w:pPr>
      <w:r w:rsidRPr="00E23BE6">
        <w:rPr>
          <w:rFonts w:asciiTheme="minorHAnsi" w:hAnsiTheme="minorHAnsi" w:cstheme="minorHAnsi"/>
          <w:b/>
          <w:color w:val="205766"/>
        </w:rPr>
        <w:t xml:space="preserve">Recovery and Carryover Spreadsheet </w:t>
      </w:r>
      <w:r w:rsidR="002350AB" w:rsidRPr="00E23BE6">
        <w:rPr>
          <w:rFonts w:asciiTheme="minorHAnsi" w:hAnsiTheme="minorHAnsi" w:cstheme="minorHAnsi"/>
          <w:b/>
          <w:color w:val="205766"/>
        </w:rPr>
        <w:t xml:space="preserve">(allocations as of August updated 9.2.22) </w:t>
      </w:r>
    </w:p>
    <w:p w:rsidR="00AD6E9F" w:rsidRDefault="002350AB" w:rsidP="002350AB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Be sure to use the final 2021-22 Recovery and Carryover Spreadsheet that is provided by OSPI to determine if you have carryover or recovery </w:t>
      </w:r>
      <w:r w:rsidR="00AD6E9F">
        <w:rPr>
          <w:rFonts w:asciiTheme="minorHAnsi" w:hAnsiTheme="minorHAnsi" w:cstheme="minorHAnsi"/>
        </w:rPr>
        <w:t xml:space="preserve">of state revenues </w:t>
      </w:r>
      <w:r w:rsidRPr="00356FC7">
        <w:rPr>
          <w:rFonts w:asciiTheme="minorHAnsi" w:hAnsiTheme="minorHAnsi" w:cstheme="minorHAnsi"/>
        </w:rPr>
        <w:t xml:space="preserve">to be booked.  </w:t>
      </w:r>
    </w:p>
    <w:p w:rsidR="002350AB" w:rsidRPr="00AD6E9F" w:rsidRDefault="00AD6E9F" w:rsidP="002350AB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Note: </w:t>
      </w:r>
      <w:r w:rsidR="002350AB" w:rsidRPr="00AD6E9F">
        <w:rPr>
          <w:rFonts w:asciiTheme="minorHAnsi" w:hAnsiTheme="minorHAnsi" w:cstheme="minorHAnsi"/>
          <w:b/>
          <w:bCs/>
          <w:i/>
          <w:iCs/>
        </w:rPr>
        <w:t>Professional Learning Day (PLD) allocation</w:t>
      </w:r>
      <w:r>
        <w:rPr>
          <w:rFonts w:asciiTheme="minorHAnsi" w:hAnsiTheme="minorHAnsi" w:cstheme="minorHAnsi"/>
          <w:b/>
          <w:bCs/>
          <w:i/>
          <w:iCs/>
        </w:rPr>
        <w:t>s</w:t>
      </w:r>
      <w:r w:rsidR="002350AB" w:rsidRPr="00AD6E9F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 xml:space="preserve">(activity 34) are not on this tool but </w:t>
      </w:r>
      <w:r w:rsidR="002350AB" w:rsidRPr="00AD6E9F">
        <w:rPr>
          <w:rFonts w:asciiTheme="minorHAnsi" w:hAnsiTheme="minorHAnsi" w:cstheme="minorHAnsi"/>
          <w:b/>
          <w:bCs/>
          <w:i/>
          <w:iCs/>
        </w:rPr>
        <w:t xml:space="preserve">reported </w:t>
      </w:r>
      <w:r>
        <w:rPr>
          <w:rFonts w:asciiTheme="minorHAnsi" w:hAnsiTheme="minorHAnsi" w:cstheme="minorHAnsi"/>
          <w:b/>
          <w:bCs/>
          <w:i/>
          <w:iCs/>
        </w:rPr>
        <w:t xml:space="preserve">on the Fund Balance Reporting Tool under </w:t>
      </w:r>
      <w:r w:rsidR="002350AB" w:rsidRPr="00AD6E9F">
        <w:rPr>
          <w:rFonts w:asciiTheme="minorHAnsi" w:hAnsiTheme="minorHAnsi" w:cstheme="minorHAnsi"/>
          <w:b/>
          <w:bCs/>
          <w:i/>
          <w:iCs/>
        </w:rPr>
        <w:t>GL 821 Restricted for Carryover</w:t>
      </w:r>
      <w:r>
        <w:rPr>
          <w:rFonts w:asciiTheme="minorHAnsi" w:hAnsiTheme="minorHAnsi" w:cstheme="minorHAnsi"/>
          <w:b/>
          <w:bCs/>
          <w:i/>
          <w:iCs/>
        </w:rPr>
        <w:t xml:space="preserve"> (</w:t>
      </w:r>
      <w:r w:rsidR="002350AB" w:rsidRPr="00AD6E9F">
        <w:rPr>
          <w:rFonts w:asciiTheme="minorHAnsi" w:hAnsiTheme="minorHAnsi" w:cstheme="minorHAnsi"/>
          <w:b/>
          <w:bCs/>
          <w:i/>
          <w:iCs/>
        </w:rPr>
        <w:t>not subject to recovery</w:t>
      </w:r>
      <w:r>
        <w:rPr>
          <w:rFonts w:asciiTheme="minorHAnsi" w:hAnsiTheme="minorHAnsi" w:cstheme="minorHAnsi"/>
          <w:b/>
          <w:bCs/>
          <w:i/>
          <w:iCs/>
        </w:rPr>
        <w:t>)</w:t>
      </w:r>
      <w:r w:rsidR="002350AB" w:rsidRPr="00AD6E9F">
        <w:rPr>
          <w:rFonts w:asciiTheme="minorHAnsi" w:hAnsiTheme="minorHAnsi" w:cstheme="minorHAnsi"/>
          <w:b/>
          <w:bCs/>
          <w:i/>
          <w:iCs/>
        </w:rPr>
        <w:t>.</w:t>
      </w:r>
    </w:p>
    <w:p w:rsidR="007619F4" w:rsidRPr="00356FC7" w:rsidRDefault="007619F4" w:rsidP="007619F4">
      <w:pPr>
        <w:rPr>
          <w:rFonts w:asciiTheme="minorHAnsi" w:hAnsiTheme="minorHAnsi" w:cstheme="minorHAnsi"/>
          <w:bCs/>
        </w:rPr>
      </w:pPr>
    </w:p>
    <w:p w:rsidR="008D4568" w:rsidRPr="00356FC7" w:rsidRDefault="008D4568" w:rsidP="008D456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15868" w:themeColor="accent5" w:themeShade="80"/>
        </w:rPr>
      </w:pPr>
      <w:r w:rsidRPr="00356FC7">
        <w:rPr>
          <w:rFonts w:asciiTheme="minorHAnsi" w:hAnsiTheme="minorHAnsi" w:cstheme="minorHAnsi"/>
          <w:b/>
          <w:color w:val="215868" w:themeColor="accent5" w:themeShade="80"/>
        </w:rPr>
        <w:t>Transportation To-From Short Method Template and Long Method Template (</w:t>
      </w:r>
      <w:r w:rsidR="00E15789">
        <w:rPr>
          <w:rFonts w:asciiTheme="minorHAnsi" w:hAnsiTheme="minorHAnsi" w:cstheme="minorHAnsi"/>
          <w:b/>
          <w:color w:val="215868" w:themeColor="accent5" w:themeShade="80"/>
        </w:rPr>
        <w:t xml:space="preserve">21-22 </w:t>
      </w:r>
      <w:r w:rsidRPr="00356FC7">
        <w:rPr>
          <w:rFonts w:asciiTheme="minorHAnsi" w:hAnsiTheme="minorHAnsi" w:cstheme="minorHAnsi"/>
          <w:b/>
          <w:color w:val="215868" w:themeColor="accent5" w:themeShade="80"/>
        </w:rPr>
        <w:t xml:space="preserve">not posted)  </w:t>
      </w: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Run your Transportation calculations to split transportation costs between State funded (to-from) and non-State funded transportation.  First Class districts must use the Long Method.  Second Class districts may use either the Short Method or the Long Method (the short method </w:t>
      </w:r>
      <w:r w:rsidRPr="00356FC7">
        <w:rPr>
          <w:rFonts w:asciiTheme="minorHAnsi" w:hAnsiTheme="minorHAnsi" w:cstheme="minorHAnsi"/>
          <w:b/>
          <w:u w:val="single"/>
        </w:rPr>
        <w:t>may not</w:t>
      </w:r>
      <w:r w:rsidRPr="00356FC7">
        <w:rPr>
          <w:rFonts w:asciiTheme="minorHAnsi" w:hAnsiTheme="minorHAnsi" w:cstheme="minorHAnsi"/>
        </w:rPr>
        <w:t xml:space="preserve"> be used if calculating and allocating non-state-funded costs monthly).  </w:t>
      </w: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For both the long and short method, calculations must be done prior to closing the books, and the 21-22 non to-from transportation costs removed from program 99 by using the debit/credit transfer process.  The long method tool also allows districts to project to/from costs for the upcoming year based on inflation rates.</w:t>
      </w: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</w:p>
    <w:p w:rsidR="008D4568" w:rsidRPr="00356FC7" w:rsidRDefault="008D4568" w:rsidP="008D456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15868" w:themeColor="accent5" w:themeShade="80"/>
        </w:rPr>
      </w:pPr>
      <w:r w:rsidRPr="00356FC7">
        <w:rPr>
          <w:rFonts w:asciiTheme="minorHAnsi" w:hAnsiTheme="minorHAnsi" w:cstheme="minorHAnsi"/>
          <w:b/>
          <w:color w:val="215868" w:themeColor="accent5" w:themeShade="80"/>
        </w:rPr>
        <w:t>Fund Balance Reporting (</w:t>
      </w:r>
      <w:r w:rsidR="00E15789">
        <w:rPr>
          <w:rFonts w:asciiTheme="minorHAnsi" w:hAnsiTheme="minorHAnsi" w:cstheme="minorHAnsi"/>
          <w:b/>
          <w:color w:val="215868" w:themeColor="accent5" w:themeShade="80"/>
        </w:rPr>
        <w:t xml:space="preserve">21-22 </w:t>
      </w:r>
      <w:r w:rsidRPr="00356FC7">
        <w:rPr>
          <w:rFonts w:asciiTheme="minorHAnsi" w:hAnsiTheme="minorHAnsi" w:cstheme="minorHAnsi"/>
          <w:b/>
          <w:color w:val="215868" w:themeColor="accent5" w:themeShade="80"/>
        </w:rPr>
        <w:t>not posted)</w:t>
      </w: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Use the Fund Balance Reporting Tool to determine the appropriate fund balance amounts and accounts (remember to send this when you submit the F-196).  Refer to the first paragraph below the due dates (on the first page of this document) for important information.</w:t>
      </w:r>
    </w:p>
    <w:p w:rsidR="008D4568" w:rsidRPr="00356FC7" w:rsidRDefault="008D4568" w:rsidP="008D4568">
      <w:pPr>
        <w:rPr>
          <w:rFonts w:asciiTheme="minorHAnsi" w:hAnsiTheme="minorHAnsi" w:cstheme="minorHAnsi"/>
        </w:rPr>
      </w:pPr>
    </w:p>
    <w:p w:rsidR="008D4568" w:rsidRPr="00356FC7" w:rsidRDefault="008D4568" w:rsidP="008D456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215868" w:themeColor="accent5" w:themeShade="80"/>
        </w:rPr>
      </w:pPr>
      <w:r w:rsidRPr="00356FC7">
        <w:rPr>
          <w:rFonts w:asciiTheme="minorHAnsi" w:hAnsiTheme="minorHAnsi" w:cstheme="minorHAnsi"/>
          <w:b/>
          <w:color w:val="215868" w:themeColor="accent5" w:themeShade="80"/>
        </w:rPr>
        <w:t>Special Education Maintenance of Effort</w:t>
      </w: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Link to </w:t>
      </w:r>
      <w:r w:rsidRPr="00356FC7">
        <w:rPr>
          <w:rFonts w:asciiTheme="minorHAnsi" w:hAnsiTheme="minorHAnsi" w:cstheme="minorHAnsi"/>
          <w:i/>
          <w:iCs/>
        </w:rPr>
        <w:t>OSPI’s Special Education Funding in Washington State</w:t>
      </w:r>
      <w:r w:rsidRPr="00356FC7">
        <w:rPr>
          <w:rFonts w:asciiTheme="minorHAnsi" w:hAnsiTheme="minorHAnsi" w:cstheme="minorHAnsi"/>
        </w:rPr>
        <w:t xml:space="preserve"> webpage. </w:t>
      </w:r>
    </w:p>
    <w:p w:rsidR="008D4568" w:rsidRPr="00356FC7" w:rsidRDefault="005C0844" w:rsidP="008D4568">
      <w:pPr>
        <w:pStyle w:val="ListParagraph"/>
        <w:ind w:left="360"/>
        <w:rPr>
          <w:rFonts w:asciiTheme="minorHAnsi" w:hAnsiTheme="minorHAnsi" w:cstheme="minorHAnsi"/>
        </w:rPr>
      </w:pPr>
      <w:hyperlink r:id="rId17" w:history="1">
        <w:r w:rsidR="008D4568" w:rsidRPr="00356FC7">
          <w:rPr>
            <w:rStyle w:val="Hyperlink"/>
            <w:rFonts w:asciiTheme="minorHAnsi" w:hAnsiTheme="minorHAnsi" w:cstheme="minorHAnsi"/>
          </w:rPr>
          <w:t>https://www.k12.wa.us/policy-funding/special-education-funding-and-finance/special-education-funding-washington-state</w:t>
        </w:r>
      </w:hyperlink>
    </w:p>
    <w:p w:rsidR="008D4568" w:rsidRPr="00356FC7" w:rsidRDefault="008D4568" w:rsidP="008D45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*LEA MOE Calculator</w:t>
      </w:r>
      <w:r w:rsidR="009327EE">
        <w:rPr>
          <w:rFonts w:asciiTheme="minorHAnsi" w:hAnsiTheme="minorHAnsi" w:cstheme="minorHAnsi"/>
        </w:rPr>
        <w:t xml:space="preserve"> </w:t>
      </w:r>
      <w:r w:rsidR="009327EE" w:rsidRPr="009327EE">
        <w:rPr>
          <w:rFonts w:asciiTheme="minorHAnsi" w:hAnsiTheme="minorHAnsi" w:cstheme="minorHAnsi"/>
          <w:b/>
          <w:bCs/>
          <w:color w:val="205766"/>
        </w:rPr>
        <w:t>(posted 7.20.22)</w:t>
      </w:r>
      <w:r w:rsidR="009327EE">
        <w:rPr>
          <w:rFonts w:asciiTheme="minorHAnsi" w:hAnsiTheme="minorHAnsi" w:cstheme="minorHAnsi"/>
          <w:b/>
          <w:bCs/>
          <w:color w:val="205766"/>
        </w:rPr>
        <w:t xml:space="preserve"> </w:t>
      </w:r>
      <w:r w:rsidR="009327EE">
        <w:rPr>
          <w:rFonts w:asciiTheme="minorHAnsi" w:hAnsiTheme="minorHAnsi" w:cstheme="minorHAnsi"/>
        </w:rPr>
        <w:t>and IDEA, Part B LEA MOE Guidance Handbook</w:t>
      </w:r>
    </w:p>
    <w:p w:rsidR="008D4568" w:rsidRPr="00356FC7" w:rsidRDefault="008D4568" w:rsidP="008D45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Federal Excess Cost Guidance Handbook and Federal Excess Cost Template</w:t>
      </w: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*Although the F-196 has a Maintenance of Effort test, it is not the complete test.  Districts will need to complete the Special Education Maintenance of Effort Test using the LEA MOE calculator</w:t>
      </w:r>
      <w:r w:rsidR="009327EE">
        <w:rPr>
          <w:rFonts w:asciiTheme="minorHAnsi" w:hAnsiTheme="minorHAnsi" w:cstheme="minorHAnsi"/>
        </w:rPr>
        <w:t xml:space="preserve"> (</w:t>
      </w:r>
      <w:r w:rsidR="001E170A" w:rsidRPr="00E23BE6">
        <w:rPr>
          <w:rFonts w:asciiTheme="minorHAnsi" w:hAnsiTheme="minorHAnsi" w:cstheme="minorHAnsi"/>
          <w:b/>
          <w:bCs/>
          <w:color w:val="002060"/>
        </w:rPr>
        <w:t xml:space="preserve">tab </w:t>
      </w:r>
      <w:r w:rsidR="001E170A" w:rsidRPr="00E23BE6">
        <w:rPr>
          <w:rFonts w:asciiTheme="minorHAnsi" w:hAnsiTheme="minorHAnsi" w:cstheme="minorHAnsi"/>
          <w:b/>
          <w:bCs/>
          <w:color w:val="205766"/>
        </w:rPr>
        <w:t>43</w:t>
      </w:r>
      <w:r w:rsidR="001E170A" w:rsidRPr="001E170A">
        <w:rPr>
          <w:rFonts w:asciiTheme="minorHAnsi" w:hAnsiTheme="minorHAnsi" w:cstheme="minorHAnsi"/>
          <w:b/>
          <w:bCs/>
          <w:color w:val="205766"/>
        </w:rPr>
        <w:t>. SEA Guidance</w:t>
      </w:r>
      <w:r w:rsidR="001E170A">
        <w:rPr>
          <w:rFonts w:asciiTheme="minorHAnsi" w:hAnsiTheme="minorHAnsi" w:cstheme="minorHAnsi"/>
        </w:rPr>
        <w:t xml:space="preserve"> has an abbreviated version of steps along with submission information).  </w:t>
      </w:r>
      <w:r w:rsidRPr="009327EE">
        <w:rPr>
          <w:rFonts w:asciiTheme="minorHAnsi" w:hAnsiTheme="minorHAnsi" w:cstheme="minorHAnsi"/>
        </w:rPr>
        <w:t>It</w:t>
      </w:r>
      <w:r w:rsidRPr="00356FC7">
        <w:rPr>
          <w:rFonts w:asciiTheme="minorHAnsi" w:hAnsiTheme="minorHAnsi" w:cstheme="minorHAnsi"/>
        </w:rPr>
        <w:t xml:space="preserve"> is strongly suggested districts retain the MOE calculator for compliance purposes as it is highly probable the auditors will want to see this tool.</w:t>
      </w: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</w:p>
    <w:p w:rsidR="008D4568" w:rsidRPr="00356FC7" w:rsidRDefault="008D4568" w:rsidP="008D45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215868" w:themeColor="accent5" w:themeShade="80"/>
        </w:rPr>
      </w:pPr>
      <w:r w:rsidRPr="00356FC7">
        <w:rPr>
          <w:rFonts w:asciiTheme="minorHAnsi" w:hAnsiTheme="minorHAnsi" w:cstheme="minorHAnsi"/>
          <w:b/>
          <w:bCs/>
          <w:color w:val="215868" w:themeColor="accent5" w:themeShade="80"/>
        </w:rPr>
        <w:t>2021-22 Pension Contribution</w:t>
      </w:r>
      <w:bookmarkStart w:id="0" w:name="_Hlk113874582"/>
      <w:r w:rsidRPr="00356FC7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 Recon</w:t>
      </w:r>
      <w:r w:rsidRPr="009327EE">
        <w:rPr>
          <w:rFonts w:asciiTheme="minorHAnsi" w:hAnsiTheme="minorHAnsi" w:cstheme="minorHAnsi"/>
          <w:b/>
          <w:bCs/>
          <w:color w:val="205766"/>
        </w:rPr>
        <w:t>ci</w:t>
      </w:r>
      <w:bookmarkStart w:id="1" w:name="_Hlk113874561"/>
      <w:r w:rsidRPr="009327EE">
        <w:rPr>
          <w:rFonts w:asciiTheme="minorHAnsi" w:hAnsiTheme="minorHAnsi" w:cstheme="minorHAnsi"/>
          <w:b/>
          <w:bCs/>
          <w:color w:val="205766"/>
        </w:rPr>
        <w:t>liat</w:t>
      </w:r>
      <w:bookmarkEnd w:id="1"/>
      <w:r w:rsidRPr="009327EE">
        <w:rPr>
          <w:rFonts w:asciiTheme="minorHAnsi" w:hAnsiTheme="minorHAnsi" w:cstheme="minorHAnsi"/>
          <w:b/>
          <w:bCs/>
          <w:color w:val="205766"/>
        </w:rPr>
        <w:t>i</w:t>
      </w:r>
      <w:r w:rsidRPr="00356FC7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on </w:t>
      </w:r>
      <w:bookmarkEnd w:id="0"/>
      <w:r w:rsidRPr="00356FC7">
        <w:rPr>
          <w:rFonts w:asciiTheme="minorHAnsi" w:hAnsiTheme="minorHAnsi" w:cstheme="minorHAnsi"/>
          <w:b/>
          <w:bCs/>
          <w:color w:val="215868" w:themeColor="accent5" w:themeShade="80"/>
        </w:rPr>
        <w:t>Tool (posted 8/30/22)</w:t>
      </w:r>
    </w:p>
    <w:p w:rsidR="008D4568" w:rsidRPr="00356FC7" w:rsidRDefault="008D4568" w:rsidP="008D4568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Pension contributions amounts as reported by DRS for plan year ending June 30, 2022.  Districts will need to provide assurance that the annual contribution amounts presented are reasonably accurate.</w:t>
      </w:r>
    </w:p>
    <w:p w:rsidR="00356FC7" w:rsidRPr="00356FC7" w:rsidRDefault="00356FC7" w:rsidP="00356FC7">
      <w:pPr>
        <w:rPr>
          <w:rFonts w:asciiTheme="minorHAnsi" w:hAnsiTheme="minorHAnsi" w:cstheme="minorHAnsi"/>
          <w:bCs/>
        </w:rPr>
      </w:pPr>
    </w:p>
    <w:p w:rsidR="00356FC7" w:rsidRPr="00356FC7" w:rsidRDefault="00356FC7" w:rsidP="00356FC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color w:val="215868" w:themeColor="accent5" w:themeShade="80"/>
        </w:rPr>
      </w:pPr>
      <w:r w:rsidRPr="00356FC7">
        <w:rPr>
          <w:rFonts w:asciiTheme="minorHAnsi" w:hAnsiTheme="minorHAnsi" w:cstheme="minorHAnsi"/>
          <w:b/>
          <w:color w:val="215868" w:themeColor="accent5" w:themeShade="80"/>
        </w:rPr>
        <w:t xml:space="preserve">2021-22 </w:t>
      </w:r>
      <w:r w:rsidR="00E15789">
        <w:rPr>
          <w:rFonts w:asciiTheme="minorHAnsi" w:hAnsiTheme="minorHAnsi" w:cstheme="minorHAnsi"/>
          <w:b/>
          <w:color w:val="215868" w:themeColor="accent5" w:themeShade="80"/>
        </w:rPr>
        <w:t xml:space="preserve">Final </w:t>
      </w:r>
      <w:r w:rsidRPr="00356FC7">
        <w:rPr>
          <w:rFonts w:asciiTheme="minorHAnsi" w:hAnsiTheme="minorHAnsi" w:cstheme="minorHAnsi"/>
          <w:b/>
          <w:color w:val="215868" w:themeColor="accent5" w:themeShade="80"/>
        </w:rPr>
        <w:t>F-196 Pension Reporting Tool (not posted – OSPI waiting on DRS to provide data)</w:t>
      </w:r>
    </w:p>
    <w:p w:rsidR="00356FC7" w:rsidRPr="00356FC7" w:rsidRDefault="00356FC7" w:rsidP="00356FC7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Independent Employer Verification of pension data on the tool provided by OSPI is required.  </w:t>
      </w:r>
    </w:p>
    <w:p w:rsidR="00356FC7" w:rsidRPr="00356FC7" w:rsidRDefault="00356FC7" w:rsidP="00356FC7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District specific data from this tool will be entered in the F-196 schedule of long-term liabilities under Net Pension Liabilities (be sure to read the instructions on the first tab) </w:t>
      </w:r>
      <w:r w:rsidRPr="00356FC7">
        <w:rPr>
          <w:rFonts w:asciiTheme="minorHAnsi" w:hAnsiTheme="minorHAnsi" w:cstheme="minorHAnsi"/>
          <w:b/>
          <w:bCs/>
        </w:rPr>
        <w:t>AND</w:t>
      </w:r>
      <w:r w:rsidRPr="00356FC7">
        <w:rPr>
          <w:rFonts w:asciiTheme="minorHAnsi" w:hAnsiTheme="minorHAnsi" w:cstheme="minorHAnsi"/>
        </w:rPr>
        <w:t xml:space="preserve"> in the Pension Note.</w:t>
      </w:r>
    </w:p>
    <w:p w:rsidR="007619F4" w:rsidRPr="00356FC7" w:rsidRDefault="007619F4" w:rsidP="007619F4">
      <w:pPr>
        <w:rPr>
          <w:rFonts w:asciiTheme="minorHAnsi" w:hAnsiTheme="minorHAnsi" w:cstheme="minorHAnsi"/>
          <w:bCs/>
        </w:rPr>
      </w:pPr>
    </w:p>
    <w:p w:rsidR="007619F4" w:rsidRPr="00356FC7" w:rsidRDefault="007619F4" w:rsidP="007619F4">
      <w:pPr>
        <w:rPr>
          <w:rFonts w:asciiTheme="minorHAnsi" w:hAnsiTheme="minorHAnsi" w:cstheme="minorHAnsi"/>
          <w:bCs/>
        </w:rPr>
      </w:pPr>
    </w:p>
    <w:p w:rsidR="007619F4" w:rsidRPr="00FE1409" w:rsidRDefault="007619F4" w:rsidP="007619F4">
      <w:pPr>
        <w:rPr>
          <w:rFonts w:asciiTheme="minorHAnsi" w:hAnsiTheme="minorHAnsi" w:cstheme="minorHAnsi"/>
          <w:b/>
          <w:sz w:val="28"/>
          <w:szCs w:val="28"/>
        </w:rPr>
      </w:pPr>
      <w:r w:rsidRPr="00FE1409">
        <w:rPr>
          <w:rFonts w:asciiTheme="minorHAnsi" w:hAnsiTheme="minorHAnsi" w:cstheme="minorHAnsi"/>
          <w:b/>
          <w:sz w:val="28"/>
          <w:szCs w:val="28"/>
        </w:rPr>
        <w:t xml:space="preserve">OSPI year-end tools located under </w:t>
      </w:r>
      <w:hyperlink r:id="rId18" w:history="1">
        <w:r w:rsidRPr="00FE1409">
          <w:rPr>
            <w:rStyle w:val="Hyperlink"/>
            <w:rFonts w:asciiTheme="minorHAnsi" w:hAnsiTheme="minorHAnsi" w:cstheme="minorHAnsi"/>
            <w:b/>
            <w:sz w:val="28"/>
            <w:szCs w:val="28"/>
          </w:rPr>
          <w:t>ABFR Guidelines</w:t>
        </w:r>
      </w:hyperlink>
    </w:p>
    <w:p w:rsidR="007619F4" w:rsidRPr="00356FC7" w:rsidRDefault="007619F4" w:rsidP="007619F4">
      <w:pPr>
        <w:rPr>
          <w:rFonts w:asciiTheme="minorHAnsi" w:hAnsiTheme="minorHAnsi" w:cstheme="minorHAnsi"/>
          <w:bCs/>
        </w:rPr>
      </w:pPr>
    </w:p>
    <w:p w:rsidR="007619F4" w:rsidRPr="00356FC7" w:rsidRDefault="007619F4" w:rsidP="007619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15868" w:themeColor="accent5" w:themeShade="80"/>
        </w:rPr>
      </w:pPr>
      <w:r w:rsidRPr="00356FC7">
        <w:rPr>
          <w:rFonts w:asciiTheme="minorHAnsi" w:hAnsiTheme="minorHAnsi" w:cstheme="minorHAnsi"/>
          <w:b/>
          <w:color w:val="215868" w:themeColor="accent5" w:themeShade="80"/>
        </w:rPr>
        <w:t>Notes to the Financial Statements</w:t>
      </w:r>
      <w:r w:rsidR="00E15789">
        <w:rPr>
          <w:rFonts w:asciiTheme="minorHAnsi" w:hAnsiTheme="minorHAnsi" w:cstheme="minorHAnsi"/>
          <w:b/>
          <w:color w:val="215868" w:themeColor="accent5" w:themeShade="80"/>
        </w:rPr>
        <w:t xml:space="preserve"> (21-22 not posted)</w:t>
      </w:r>
    </w:p>
    <w:p w:rsidR="007619F4" w:rsidRPr="00356FC7" w:rsidRDefault="007619F4" w:rsidP="007619F4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Although the notes to the financial statements are not due until the auditors arrive, it is strongly suggested that districts prepare the notes that tie into financial data on the F-196 prior to finalizing the F-196.  As the notes change from year to year, it is also recommended to download the most current template found in the ABFR manual.  Most districts use the F-196 basis (OCBOA Modified Accrual) and adjust the template, as appropriate. </w:t>
      </w:r>
    </w:p>
    <w:p w:rsidR="007619F4" w:rsidRPr="00356FC7" w:rsidRDefault="007619F4" w:rsidP="007619F4">
      <w:pPr>
        <w:pStyle w:val="ListParagraph"/>
        <w:ind w:left="360"/>
        <w:rPr>
          <w:rFonts w:asciiTheme="minorHAnsi" w:hAnsiTheme="minorHAnsi" w:cstheme="minorHAnsi"/>
        </w:rPr>
      </w:pPr>
    </w:p>
    <w:p w:rsidR="007619F4" w:rsidRPr="00356FC7" w:rsidRDefault="007619F4" w:rsidP="007619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15868" w:themeColor="accent5" w:themeShade="80"/>
        </w:rPr>
      </w:pPr>
      <w:r w:rsidRPr="00356FC7">
        <w:rPr>
          <w:rFonts w:asciiTheme="minorHAnsi" w:hAnsiTheme="minorHAnsi" w:cstheme="minorHAnsi"/>
          <w:b/>
          <w:color w:val="215868" w:themeColor="accent5" w:themeShade="80"/>
        </w:rPr>
        <w:t>Pension Note</w:t>
      </w:r>
      <w:r w:rsidR="00E15789">
        <w:rPr>
          <w:rFonts w:asciiTheme="minorHAnsi" w:hAnsiTheme="minorHAnsi" w:cstheme="minorHAnsi"/>
          <w:b/>
          <w:color w:val="215868" w:themeColor="accent5" w:themeShade="80"/>
        </w:rPr>
        <w:t xml:space="preserve"> (21-22 not posted)</w:t>
      </w:r>
    </w:p>
    <w:p w:rsidR="007619F4" w:rsidRPr="00356FC7" w:rsidRDefault="007619F4" w:rsidP="007619F4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Although there is a pension note in the Notes to the Financial Statements template, most years OSPI posts </w:t>
      </w:r>
      <w:r w:rsidR="002350AB" w:rsidRPr="00356FC7">
        <w:rPr>
          <w:rFonts w:asciiTheme="minorHAnsi" w:hAnsiTheme="minorHAnsi" w:cstheme="minorHAnsi"/>
        </w:rPr>
        <w:t>standalone notes for Cash, OCBOA and GAAP statements.  This standalone template is to be used instead of the pension note in the full note template.</w:t>
      </w:r>
    </w:p>
    <w:p w:rsidR="007619F4" w:rsidRPr="00356FC7" w:rsidRDefault="007619F4" w:rsidP="007619F4">
      <w:pPr>
        <w:pStyle w:val="ListParagraph"/>
        <w:ind w:left="360"/>
        <w:rPr>
          <w:rFonts w:asciiTheme="minorHAnsi" w:hAnsiTheme="minorHAnsi" w:cstheme="minorHAnsi"/>
        </w:rPr>
      </w:pPr>
    </w:p>
    <w:p w:rsidR="007619F4" w:rsidRPr="00356FC7" w:rsidRDefault="007619F4" w:rsidP="007619F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color w:val="215868" w:themeColor="accent5" w:themeShade="80"/>
        </w:rPr>
      </w:pPr>
      <w:r w:rsidRPr="00356FC7">
        <w:rPr>
          <w:rFonts w:asciiTheme="minorHAnsi" w:hAnsiTheme="minorHAnsi" w:cstheme="minorHAnsi"/>
          <w:b/>
          <w:bCs/>
          <w:color w:val="215868" w:themeColor="accent5" w:themeShade="80"/>
        </w:rPr>
        <w:t>HCA District-Specific Retiree Census Data (</w:t>
      </w:r>
      <w:r w:rsidR="00E15789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21-22 </w:t>
      </w:r>
      <w:r w:rsidRPr="00356FC7">
        <w:rPr>
          <w:rFonts w:asciiTheme="minorHAnsi" w:hAnsiTheme="minorHAnsi" w:cstheme="minorHAnsi"/>
          <w:b/>
          <w:bCs/>
          <w:color w:val="215868" w:themeColor="accent5" w:themeShade="80"/>
        </w:rPr>
        <w:t>not posted)</w:t>
      </w:r>
    </w:p>
    <w:p w:rsidR="007619F4" w:rsidRPr="00356FC7" w:rsidRDefault="007619F4" w:rsidP="007619F4">
      <w:pPr>
        <w:pStyle w:val="ListParagraph"/>
        <w:ind w:left="360"/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 xml:space="preserve">This tool has the district specific number of retirees to enter in the </w:t>
      </w:r>
      <w:r w:rsidRPr="00356FC7">
        <w:rPr>
          <w:rFonts w:asciiTheme="minorHAnsi" w:hAnsiTheme="minorHAnsi" w:cstheme="minorHAnsi"/>
          <w:u w:val="single"/>
        </w:rPr>
        <w:t>Annual Other Post-Employment Benefit Cost and Net OPEB Obligations</w:t>
      </w:r>
      <w:r w:rsidRPr="00356FC7">
        <w:rPr>
          <w:rFonts w:asciiTheme="minorHAnsi" w:hAnsiTheme="minorHAnsi" w:cstheme="minorHAnsi"/>
        </w:rPr>
        <w:t xml:space="preserve"> note.</w:t>
      </w:r>
    </w:p>
    <w:p w:rsidR="001571F7" w:rsidRPr="00356FC7" w:rsidRDefault="001571F7" w:rsidP="00EB68F7">
      <w:pPr>
        <w:pStyle w:val="ListParagraph"/>
        <w:ind w:left="360"/>
        <w:rPr>
          <w:rFonts w:asciiTheme="minorHAnsi" w:hAnsiTheme="minorHAnsi" w:cstheme="minorHAnsi"/>
        </w:rPr>
      </w:pPr>
    </w:p>
    <w:p w:rsidR="00DC19C4" w:rsidRPr="001E170A" w:rsidRDefault="00DC19C4" w:rsidP="00DC19C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color w:val="205766"/>
        </w:rPr>
      </w:pPr>
      <w:r w:rsidRPr="001E170A">
        <w:rPr>
          <w:rFonts w:asciiTheme="minorHAnsi" w:hAnsiTheme="minorHAnsi" w:cstheme="minorHAnsi"/>
          <w:b/>
          <w:color w:val="205766"/>
        </w:rPr>
        <w:t>Schedule of Expenditures of Federal Awards (SEFA)</w:t>
      </w:r>
      <w:r w:rsidR="00123484" w:rsidRPr="001E170A">
        <w:rPr>
          <w:rFonts w:asciiTheme="minorHAnsi" w:hAnsiTheme="minorHAnsi" w:cstheme="minorHAnsi"/>
          <w:b/>
          <w:color w:val="205766"/>
        </w:rPr>
        <w:t xml:space="preserve"> – </w:t>
      </w:r>
      <w:r w:rsidR="00123484" w:rsidRPr="001E170A">
        <w:rPr>
          <w:rFonts w:asciiTheme="minorHAnsi" w:hAnsiTheme="minorHAnsi" w:cstheme="minorHAnsi"/>
          <w:b/>
          <w:color w:val="205766"/>
          <w:u w:val="single"/>
        </w:rPr>
        <w:t>verify effective date</w:t>
      </w:r>
      <w:r w:rsidR="00E23BE6">
        <w:rPr>
          <w:rFonts w:asciiTheme="minorHAnsi" w:hAnsiTheme="minorHAnsi" w:cstheme="minorHAnsi"/>
          <w:b/>
          <w:color w:val="205766"/>
          <w:u w:val="single"/>
        </w:rPr>
        <w:t xml:space="preserve"> (updated tool will be effective 9/1/21) </w:t>
      </w:r>
    </w:p>
    <w:p w:rsidR="00123484" w:rsidRDefault="00123484" w:rsidP="00DC19C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ABFR Chapter 11 – SEFA Guidance </w:t>
      </w:r>
      <w:r w:rsidR="002F07CF">
        <w:rPr>
          <w:rFonts w:asciiTheme="minorHAnsi" w:hAnsiTheme="minorHAnsi" w:cstheme="minorHAnsi"/>
        </w:rPr>
        <w:t xml:space="preserve">is posted </w:t>
      </w:r>
      <w:r w:rsidR="00030629" w:rsidRPr="00356FC7">
        <w:rPr>
          <w:rFonts w:asciiTheme="minorHAnsi" w:hAnsiTheme="minorHAnsi" w:cstheme="minorHAnsi"/>
        </w:rPr>
        <w:t xml:space="preserve">at the bottom of the </w:t>
      </w:r>
      <w:r w:rsidR="00AA4EA8" w:rsidRPr="00356FC7">
        <w:rPr>
          <w:rFonts w:asciiTheme="minorHAnsi" w:hAnsiTheme="minorHAnsi" w:cstheme="minorHAnsi"/>
        </w:rPr>
        <w:t xml:space="preserve">ABFR </w:t>
      </w:r>
      <w:r w:rsidR="00030629" w:rsidRPr="00356FC7">
        <w:rPr>
          <w:rFonts w:asciiTheme="minorHAnsi" w:hAnsiTheme="minorHAnsi" w:cstheme="minorHAnsi"/>
        </w:rPr>
        <w:t>webpage</w:t>
      </w:r>
      <w:r>
        <w:rPr>
          <w:rFonts w:asciiTheme="minorHAnsi" w:hAnsiTheme="minorHAnsi" w:cstheme="minorHAnsi"/>
        </w:rPr>
        <w:t>.  These instructions also include the sample Notes to the SEFA (</w:t>
      </w:r>
      <w:r w:rsidR="001E170A">
        <w:rPr>
          <w:rFonts w:asciiTheme="minorHAnsi" w:hAnsiTheme="minorHAnsi" w:cstheme="minorHAnsi"/>
        </w:rPr>
        <w:t>referred to as “SEFA notes” or “</w:t>
      </w:r>
      <w:r>
        <w:rPr>
          <w:rFonts w:asciiTheme="minorHAnsi" w:hAnsiTheme="minorHAnsi" w:cstheme="minorHAnsi"/>
        </w:rPr>
        <w:t>footnotes</w:t>
      </w:r>
      <w:r w:rsidR="001E170A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).</w:t>
      </w:r>
    </w:p>
    <w:p w:rsidR="00770A90" w:rsidRPr="00356FC7" w:rsidRDefault="00770A90" w:rsidP="00770A90">
      <w:pPr>
        <w:pStyle w:val="ListParagraph"/>
        <w:rPr>
          <w:rFonts w:asciiTheme="minorHAnsi" w:hAnsiTheme="minorHAnsi" w:cstheme="minorHAnsi"/>
        </w:rPr>
      </w:pPr>
    </w:p>
    <w:p w:rsidR="00D668B5" w:rsidRPr="00356FC7" w:rsidRDefault="00D668B5" w:rsidP="00E50DBA">
      <w:pPr>
        <w:pStyle w:val="ListParagraph"/>
        <w:ind w:left="360"/>
        <w:rPr>
          <w:rFonts w:asciiTheme="minorHAnsi" w:hAnsiTheme="minorHAnsi" w:cstheme="minorHAnsi"/>
        </w:rPr>
      </w:pPr>
    </w:p>
    <w:p w:rsidR="001E58A3" w:rsidRPr="00356FC7" w:rsidRDefault="003F6A30">
      <w:p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B</w:t>
      </w:r>
      <w:r w:rsidR="00AC0FE6" w:rsidRPr="00356FC7">
        <w:rPr>
          <w:rFonts w:asciiTheme="minorHAnsi" w:hAnsiTheme="minorHAnsi" w:cstheme="minorHAnsi"/>
        </w:rPr>
        <w:t xml:space="preserve">elow </w:t>
      </w:r>
      <w:r w:rsidR="001E58A3" w:rsidRPr="00356FC7">
        <w:rPr>
          <w:rFonts w:asciiTheme="minorHAnsi" w:hAnsiTheme="minorHAnsi" w:cstheme="minorHAnsi"/>
        </w:rPr>
        <w:t xml:space="preserve">are additional resources to help prepare the </w:t>
      </w:r>
      <w:r w:rsidR="00CD2699">
        <w:rPr>
          <w:rFonts w:asciiTheme="minorHAnsi" w:hAnsiTheme="minorHAnsi" w:cstheme="minorHAnsi"/>
        </w:rPr>
        <w:t>year end financials</w:t>
      </w:r>
      <w:r w:rsidR="001C17E2" w:rsidRPr="00356FC7">
        <w:rPr>
          <w:rFonts w:asciiTheme="minorHAnsi" w:hAnsiTheme="minorHAnsi" w:cstheme="minorHAnsi"/>
        </w:rPr>
        <w:t>:</w:t>
      </w:r>
    </w:p>
    <w:p w:rsidR="001C17E2" w:rsidRPr="00356FC7" w:rsidRDefault="001C17E2" w:rsidP="001C17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6FC7">
        <w:rPr>
          <w:rFonts w:asciiTheme="minorHAnsi" w:hAnsiTheme="minorHAnsi" w:cstheme="minorHAnsi"/>
        </w:rPr>
        <w:t>In EDS – SAFS F-196 User Manual (find this under the “Info Center” tab</w:t>
      </w:r>
      <w:r w:rsidR="00E2425D" w:rsidRPr="00356FC7">
        <w:rPr>
          <w:rFonts w:asciiTheme="minorHAnsi" w:hAnsiTheme="minorHAnsi" w:cstheme="minorHAnsi"/>
        </w:rPr>
        <w:t>)</w:t>
      </w:r>
    </w:p>
    <w:p w:rsidR="00B149E2" w:rsidRDefault="005C0844" w:rsidP="00AA4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9" w:history="1">
        <w:r w:rsidR="00B149E2" w:rsidRPr="00B149E2">
          <w:rPr>
            <w:rStyle w:val="Hyperlink"/>
            <w:rFonts w:asciiTheme="minorHAnsi" w:hAnsiTheme="minorHAnsi" w:cstheme="minorHAnsi"/>
          </w:rPr>
          <w:t>Link</w:t>
        </w:r>
      </w:hyperlink>
      <w:r w:rsidR="00B149E2">
        <w:rPr>
          <w:rFonts w:asciiTheme="minorHAnsi" w:hAnsiTheme="minorHAnsi" w:cstheme="minorHAnsi"/>
        </w:rPr>
        <w:t xml:space="preserve"> to the </w:t>
      </w:r>
      <w:r w:rsidR="006773F2" w:rsidRPr="00356FC7">
        <w:rPr>
          <w:rFonts w:asciiTheme="minorHAnsi" w:hAnsiTheme="minorHAnsi" w:cstheme="minorHAnsi"/>
        </w:rPr>
        <w:t>20</w:t>
      </w:r>
      <w:r w:rsidR="00030629" w:rsidRPr="00356FC7">
        <w:rPr>
          <w:rFonts w:asciiTheme="minorHAnsi" w:hAnsiTheme="minorHAnsi" w:cstheme="minorHAnsi"/>
        </w:rPr>
        <w:t>2</w:t>
      </w:r>
      <w:r w:rsidR="00161C3A" w:rsidRPr="00356FC7">
        <w:rPr>
          <w:rFonts w:asciiTheme="minorHAnsi" w:hAnsiTheme="minorHAnsi" w:cstheme="minorHAnsi"/>
        </w:rPr>
        <w:t>1</w:t>
      </w:r>
      <w:r w:rsidR="006773F2" w:rsidRPr="00356FC7">
        <w:rPr>
          <w:rFonts w:asciiTheme="minorHAnsi" w:hAnsiTheme="minorHAnsi" w:cstheme="minorHAnsi"/>
        </w:rPr>
        <w:t>-</w:t>
      </w:r>
      <w:r w:rsidR="00030629" w:rsidRPr="00356FC7">
        <w:rPr>
          <w:rFonts w:asciiTheme="minorHAnsi" w:hAnsiTheme="minorHAnsi" w:cstheme="minorHAnsi"/>
        </w:rPr>
        <w:t>2</w:t>
      </w:r>
      <w:r w:rsidR="00161C3A" w:rsidRPr="00356FC7">
        <w:rPr>
          <w:rFonts w:asciiTheme="minorHAnsi" w:hAnsiTheme="minorHAnsi" w:cstheme="minorHAnsi"/>
        </w:rPr>
        <w:t>2</w:t>
      </w:r>
      <w:r w:rsidR="006773F2" w:rsidRPr="00356FC7">
        <w:rPr>
          <w:rFonts w:asciiTheme="minorHAnsi" w:hAnsiTheme="minorHAnsi" w:cstheme="minorHAnsi"/>
        </w:rPr>
        <w:t xml:space="preserve"> Accounting Manual Appendix </w:t>
      </w:r>
      <w:r w:rsidR="00AA4EA8" w:rsidRPr="00356FC7">
        <w:rPr>
          <w:rFonts w:asciiTheme="minorHAnsi" w:hAnsiTheme="minorHAnsi" w:cstheme="minorHAnsi"/>
        </w:rPr>
        <w:t>B – Additional Accounting Guidance</w:t>
      </w:r>
    </w:p>
    <w:p w:rsidR="00CD2699" w:rsidRDefault="00B149E2" w:rsidP="00CD269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Includes </w:t>
      </w:r>
      <w:r w:rsidR="001324CD" w:rsidRPr="00356FC7">
        <w:rPr>
          <w:rFonts w:asciiTheme="minorHAnsi" w:hAnsiTheme="minorHAnsi" w:cstheme="minorHAnsi"/>
        </w:rPr>
        <w:t>To-From Transportation, Food Service Program Guidance and Compensated Absences</w:t>
      </w:r>
    </w:p>
    <w:p w:rsidR="00CD2699" w:rsidRDefault="005C0844" w:rsidP="00CD26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20" w:history="1">
        <w:r w:rsidR="00CD2699" w:rsidRPr="00CD2699">
          <w:rPr>
            <w:rStyle w:val="Hyperlink"/>
            <w:rFonts w:asciiTheme="minorHAnsi" w:hAnsiTheme="minorHAnsi" w:cstheme="minorHAnsi"/>
          </w:rPr>
          <w:t>Link</w:t>
        </w:r>
      </w:hyperlink>
      <w:r w:rsidR="00CD2699">
        <w:rPr>
          <w:rFonts w:asciiTheme="minorHAnsi" w:hAnsiTheme="minorHAnsi" w:cstheme="minorHAnsi"/>
        </w:rPr>
        <w:t xml:space="preserve"> to WASBO’s </w:t>
      </w:r>
      <w:r w:rsidR="00CD2699" w:rsidRPr="00CD2699">
        <w:rPr>
          <w:rFonts w:asciiTheme="minorHAnsi" w:hAnsiTheme="minorHAnsi" w:cstheme="minorHAnsi"/>
        </w:rPr>
        <w:t>New Accounting Lease Requirements</w:t>
      </w:r>
      <w:r w:rsidR="00CD2699">
        <w:rPr>
          <w:rFonts w:asciiTheme="minorHAnsi" w:hAnsiTheme="minorHAnsi" w:cstheme="minorHAnsi"/>
        </w:rPr>
        <w:t xml:space="preserve"> Q&amp;A</w:t>
      </w:r>
      <w:r w:rsidR="00CD2699" w:rsidRPr="00CD2699">
        <w:rPr>
          <w:rFonts w:asciiTheme="minorHAnsi" w:hAnsiTheme="minorHAnsi" w:cstheme="minorHAnsi"/>
        </w:rPr>
        <w:t xml:space="preserve"> (</w:t>
      </w:r>
      <w:r w:rsidR="00CD2699">
        <w:rPr>
          <w:rFonts w:asciiTheme="minorHAnsi" w:hAnsiTheme="minorHAnsi" w:cstheme="minorHAnsi"/>
        </w:rPr>
        <w:t xml:space="preserve">panelists = </w:t>
      </w:r>
      <w:r w:rsidR="00CD2699" w:rsidRPr="00CD2699">
        <w:rPr>
          <w:rFonts w:asciiTheme="minorHAnsi" w:hAnsiTheme="minorHAnsi" w:cstheme="minorHAnsi"/>
        </w:rPr>
        <w:t>WASBO/SAO/OSPI)</w:t>
      </w:r>
    </w:p>
    <w:p w:rsidR="00345698" w:rsidRPr="00356FC7" w:rsidRDefault="007A19E7" w:rsidP="003661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OESD</w:t>
      </w:r>
      <w:r w:rsidR="00CF4558" w:rsidRPr="00356F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Financial Services Director</w:t>
      </w:r>
      <w:r w:rsidR="00E50DBA" w:rsidRPr="00356FC7">
        <w:rPr>
          <w:rFonts w:asciiTheme="minorHAnsi" w:hAnsiTheme="minorHAnsi" w:cstheme="minorHAnsi"/>
        </w:rPr>
        <w:t>:</w:t>
      </w:r>
      <w:r w:rsidR="00193D68" w:rsidRPr="00356F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Heather Korten hkorten@oesd114.org</w:t>
      </w:r>
    </w:p>
    <w:p w:rsidR="00077132" w:rsidRPr="00356FC7" w:rsidRDefault="00077132" w:rsidP="00077132">
      <w:pPr>
        <w:rPr>
          <w:rFonts w:asciiTheme="minorHAnsi" w:hAnsiTheme="minorHAnsi" w:cstheme="minorHAnsi"/>
        </w:rPr>
      </w:pPr>
    </w:p>
    <w:sectPr w:rsidR="00077132" w:rsidRPr="00356FC7" w:rsidSect="00E23BE6">
      <w:footerReference w:type="default" r:id="rId21"/>
      <w:footerReference w:type="first" r:id="rId22"/>
      <w:pgSz w:w="12240" w:h="15840" w:code="1"/>
      <w:pgMar w:top="1008" w:right="1008" w:bottom="720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44" w:rsidRDefault="005C0844" w:rsidP="001D29FB">
      <w:r>
        <w:separator/>
      </w:r>
    </w:p>
  </w:endnote>
  <w:endnote w:type="continuationSeparator" w:id="0">
    <w:p w:rsidR="005C0844" w:rsidRDefault="005C0844" w:rsidP="001D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5459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1D29FB" w:rsidRPr="00E23BE6" w:rsidRDefault="001D29FB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23BE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23BE6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E23BE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36A96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E23BE6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:rsidR="001D29FB" w:rsidRPr="00E23BE6" w:rsidRDefault="00E23BE6" w:rsidP="00E23BE6">
    <w:pPr>
      <w:pStyle w:val="Footer"/>
      <w:rPr>
        <w:rFonts w:asciiTheme="minorHAnsi" w:hAnsiTheme="minorHAnsi" w:cstheme="minorHAnsi"/>
        <w:sz w:val="18"/>
        <w:szCs w:val="18"/>
      </w:rPr>
    </w:pPr>
    <w:r w:rsidRPr="00E23BE6">
      <w:rPr>
        <w:rFonts w:asciiTheme="minorHAnsi" w:hAnsiTheme="minorHAnsi" w:cstheme="minorHAnsi"/>
        <w:sz w:val="18"/>
        <w:szCs w:val="18"/>
      </w:rPr>
      <w:t>9/13/2022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E6" w:rsidRPr="00E23BE6" w:rsidRDefault="00E23BE6">
    <w:pPr>
      <w:pStyle w:val="Footer"/>
      <w:rPr>
        <w:rFonts w:asciiTheme="minorHAnsi" w:hAnsiTheme="minorHAnsi" w:cstheme="minorHAnsi"/>
        <w:sz w:val="18"/>
        <w:szCs w:val="18"/>
      </w:rPr>
    </w:pPr>
    <w:r w:rsidRPr="00E23BE6">
      <w:rPr>
        <w:rFonts w:asciiTheme="minorHAnsi" w:hAnsiTheme="minorHAnsi" w:cstheme="minorHAnsi"/>
        <w:sz w:val="18"/>
        <w:szCs w:val="18"/>
      </w:rPr>
      <w:t>9/13/2022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44" w:rsidRDefault="005C0844" w:rsidP="001D29FB">
      <w:r>
        <w:separator/>
      </w:r>
    </w:p>
  </w:footnote>
  <w:footnote w:type="continuationSeparator" w:id="0">
    <w:p w:rsidR="005C0844" w:rsidRDefault="005C0844" w:rsidP="001D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F61"/>
    <w:multiLevelType w:val="hybridMultilevel"/>
    <w:tmpl w:val="F954CC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D2D86"/>
    <w:multiLevelType w:val="hybridMultilevel"/>
    <w:tmpl w:val="68723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089E"/>
    <w:multiLevelType w:val="hybridMultilevel"/>
    <w:tmpl w:val="563E08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6508D"/>
    <w:multiLevelType w:val="hybridMultilevel"/>
    <w:tmpl w:val="6C4C0F32"/>
    <w:lvl w:ilvl="0" w:tplc="AE36CB7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2717"/>
    <w:multiLevelType w:val="multilevel"/>
    <w:tmpl w:val="A43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C28DA"/>
    <w:multiLevelType w:val="hybridMultilevel"/>
    <w:tmpl w:val="FB2458A0"/>
    <w:lvl w:ilvl="0" w:tplc="86365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E3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2055A">
      <w:start w:val="16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4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C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8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2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A7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1A1E69"/>
    <w:multiLevelType w:val="hybridMultilevel"/>
    <w:tmpl w:val="CF0A3570"/>
    <w:lvl w:ilvl="0" w:tplc="AE36CB7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2F60"/>
    <w:multiLevelType w:val="hybridMultilevel"/>
    <w:tmpl w:val="B230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0428E"/>
    <w:multiLevelType w:val="hybridMultilevel"/>
    <w:tmpl w:val="0F10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C61D8"/>
    <w:multiLevelType w:val="hybridMultilevel"/>
    <w:tmpl w:val="600C1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C6B"/>
    <w:multiLevelType w:val="hybridMultilevel"/>
    <w:tmpl w:val="0732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478E3"/>
    <w:multiLevelType w:val="hybridMultilevel"/>
    <w:tmpl w:val="F9AA9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92599"/>
    <w:multiLevelType w:val="hybridMultilevel"/>
    <w:tmpl w:val="62FC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638"/>
    <w:multiLevelType w:val="hybridMultilevel"/>
    <w:tmpl w:val="79624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6285"/>
    <w:multiLevelType w:val="hybridMultilevel"/>
    <w:tmpl w:val="D1845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CA3204"/>
    <w:multiLevelType w:val="hybridMultilevel"/>
    <w:tmpl w:val="EC1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25E44"/>
    <w:multiLevelType w:val="hybridMultilevel"/>
    <w:tmpl w:val="5E1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72685"/>
    <w:multiLevelType w:val="hybridMultilevel"/>
    <w:tmpl w:val="95DED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4093D"/>
    <w:multiLevelType w:val="hybridMultilevel"/>
    <w:tmpl w:val="44D2B44A"/>
    <w:lvl w:ilvl="0" w:tplc="189A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7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D576">
      <w:start w:val="16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8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A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6E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AD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A2647B"/>
    <w:multiLevelType w:val="hybridMultilevel"/>
    <w:tmpl w:val="478C1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7"/>
  </w:num>
  <w:num w:numId="8">
    <w:abstractNumId w:val="16"/>
  </w:num>
  <w:num w:numId="9">
    <w:abstractNumId w:val="5"/>
  </w:num>
  <w:num w:numId="10">
    <w:abstractNumId w:val="18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19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A3"/>
    <w:rsid w:val="0002024D"/>
    <w:rsid w:val="000211AA"/>
    <w:rsid w:val="00030629"/>
    <w:rsid w:val="0004098E"/>
    <w:rsid w:val="000479BC"/>
    <w:rsid w:val="00077132"/>
    <w:rsid w:val="00080641"/>
    <w:rsid w:val="000B42A7"/>
    <w:rsid w:val="000C3A98"/>
    <w:rsid w:val="000D65BF"/>
    <w:rsid w:val="000E33F3"/>
    <w:rsid w:val="000F7879"/>
    <w:rsid w:val="00101EBF"/>
    <w:rsid w:val="001132A6"/>
    <w:rsid w:val="00117E77"/>
    <w:rsid w:val="00123484"/>
    <w:rsid w:val="00125615"/>
    <w:rsid w:val="001324CD"/>
    <w:rsid w:val="00137FC3"/>
    <w:rsid w:val="001410E0"/>
    <w:rsid w:val="001469C4"/>
    <w:rsid w:val="001571F7"/>
    <w:rsid w:val="00161C3A"/>
    <w:rsid w:val="00186DCF"/>
    <w:rsid w:val="00193D68"/>
    <w:rsid w:val="00194ED4"/>
    <w:rsid w:val="00195AFE"/>
    <w:rsid w:val="001A5902"/>
    <w:rsid w:val="001C17E2"/>
    <w:rsid w:val="001C5254"/>
    <w:rsid w:val="001D29FB"/>
    <w:rsid w:val="001E170A"/>
    <w:rsid w:val="001E58A3"/>
    <w:rsid w:val="00204E17"/>
    <w:rsid w:val="002350AB"/>
    <w:rsid w:val="002A3BCB"/>
    <w:rsid w:val="002A54B0"/>
    <w:rsid w:val="002F07CF"/>
    <w:rsid w:val="003011DD"/>
    <w:rsid w:val="00336107"/>
    <w:rsid w:val="00336A96"/>
    <w:rsid w:val="00345698"/>
    <w:rsid w:val="00356FC7"/>
    <w:rsid w:val="00360EF3"/>
    <w:rsid w:val="0036614C"/>
    <w:rsid w:val="003B26B9"/>
    <w:rsid w:val="003D673D"/>
    <w:rsid w:val="003E5DA2"/>
    <w:rsid w:val="003F01AC"/>
    <w:rsid w:val="003F30EF"/>
    <w:rsid w:val="003F68E6"/>
    <w:rsid w:val="003F6A30"/>
    <w:rsid w:val="004037FA"/>
    <w:rsid w:val="00404DE2"/>
    <w:rsid w:val="00432FCD"/>
    <w:rsid w:val="004447DD"/>
    <w:rsid w:val="00445F07"/>
    <w:rsid w:val="004746F2"/>
    <w:rsid w:val="004B0DD5"/>
    <w:rsid w:val="004E1FC0"/>
    <w:rsid w:val="004F0657"/>
    <w:rsid w:val="004F15ED"/>
    <w:rsid w:val="004F7BFE"/>
    <w:rsid w:val="0053060D"/>
    <w:rsid w:val="00533DFD"/>
    <w:rsid w:val="005459E9"/>
    <w:rsid w:val="00551D24"/>
    <w:rsid w:val="00551FDF"/>
    <w:rsid w:val="00565156"/>
    <w:rsid w:val="00576A4F"/>
    <w:rsid w:val="00584D28"/>
    <w:rsid w:val="00590F41"/>
    <w:rsid w:val="005B049E"/>
    <w:rsid w:val="005B5523"/>
    <w:rsid w:val="005B6AAD"/>
    <w:rsid w:val="005C0844"/>
    <w:rsid w:val="005E0F5D"/>
    <w:rsid w:val="005E70CA"/>
    <w:rsid w:val="005F1B6E"/>
    <w:rsid w:val="00601409"/>
    <w:rsid w:val="0062043F"/>
    <w:rsid w:val="00622B9B"/>
    <w:rsid w:val="00626B8A"/>
    <w:rsid w:val="006405C1"/>
    <w:rsid w:val="0064432A"/>
    <w:rsid w:val="006657DC"/>
    <w:rsid w:val="00674618"/>
    <w:rsid w:val="006773F2"/>
    <w:rsid w:val="0068556A"/>
    <w:rsid w:val="0068557A"/>
    <w:rsid w:val="00694306"/>
    <w:rsid w:val="00694A57"/>
    <w:rsid w:val="00695FD3"/>
    <w:rsid w:val="006B66EE"/>
    <w:rsid w:val="006B7295"/>
    <w:rsid w:val="006C195F"/>
    <w:rsid w:val="006C6A7E"/>
    <w:rsid w:val="006D798B"/>
    <w:rsid w:val="006F1ED9"/>
    <w:rsid w:val="00734CEA"/>
    <w:rsid w:val="00744762"/>
    <w:rsid w:val="00754420"/>
    <w:rsid w:val="007619F4"/>
    <w:rsid w:val="00761CF3"/>
    <w:rsid w:val="00762F81"/>
    <w:rsid w:val="00765392"/>
    <w:rsid w:val="00770A90"/>
    <w:rsid w:val="0077116A"/>
    <w:rsid w:val="0078223B"/>
    <w:rsid w:val="007A19E7"/>
    <w:rsid w:val="007B7D8E"/>
    <w:rsid w:val="007D398A"/>
    <w:rsid w:val="00812425"/>
    <w:rsid w:val="008416F9"/>
    <w:rsid w:val="008443C5"/>
    <w:rsid w:val="00861E71"/>
    <w:rsid w:val="00872544"/>
    <w:rsid w:val="00873934"/>
    <w:rsid w:val="00883CD3"/>
    <w:rsid w:val="00887C86"/>
    <w:rsid w:val="00887CC8"/>
    <w:rsid w:val="008B5259"/>
    <w:rsid w:val="008C3383"/>
    <w:rsid w:val="008C66F9"/>
    <w:rsid w:val="008D2783"/>
    <w:rsid w:val="008D4568"/>
    <w:rsid w:val="009262DF"/>
    <w:rsid w:val="009327EE"/>
    <w:rsid w:val="00941C6D"/>
    <w:rsid w:val="009644BB"/>
    <w:rsid w:val="009A2BAF"/>
    <w:rsid w:val="009B4F4C"/>
    <w:rsid w:val="009C176B"/>
    <w:rsid w:val="009C1B98"/>
    <w:rsid w:val="009D38ED"/>
    <w:rsid w:val="009D742D"/>
    <w:rsid w:val="009F01C9"/>
    <w:rsid w:val="009F3D5F"/>
    <w:rsid w:val="00A004CC"/>
    <w:rsid w:val="00A303A7"/>
    <w:rsid w:val="00A321F3"/>
    <w:rsid w:val="00A466F9"/>
    <w:rsid w:val="00A65425"/>
    <w:rsid w:val="00A71257"/>
    <w:rsid w:val="00A77179"/>
    <w:rsid w:val="00A80FBF"/>
    <w:rsid w:val="00A972D3"/>
    <w:rsid w:val="00AA4EA8"/>
    <w:rsid w:val="00AC0FE6"/>
    <w:rsid w:val="00AD6E9F"/>
    <w:rsid w:val="00AF3F52"/>
    <w:rsid w:val="00B01523"/>
    <w:rsid w:val="00B07D4E"/>
    <w:rsid w:val="00B1313C"/>
    <w:rsid w:val="00B149E2"/>
    <w:rsid w:val="00B21FF2"/>
    <w:rsid w:val="00B27056"/>
    <w:rsid w:val="00B272DC"/>
    <w:rsid w:val="00B3541D"/>
    <w:rsid w:val="00B51782"/>
    <w:rsid w:val="00B53E17"/>
    <w:rsid w:val="00B63566"/>
    <w:rsid w:val="00B715FD"/>
    <w:rsid w:val="00B73543"/>
    <w:rsid w:val="00BA2709"/>
    <w:rsid w:val="00BE6F88"/>
    <w:rsid w:val="00BF3A6D"/>
    <w:rsid w:val="00C16779"/>
    <w:rsid w:val="00C16A43"/>
    <w:rsid w:val="00C315AD"/>
    <w:rsid w:val="00C43C1E"/>
    <w:rsid w:val="00C44A5B"/>
    <w:rsid w:val="00C9089D"/>
    <w:rsid w:val="00CA3A91"/>
    <w:rsid w:val="00CA6839"/>
    <w:rsid w:val="00CD2699"/>
    <w:rsid w:val="00CF0155"/>
    <w:rsid w:val="00CF4558"/>
    <w:rsid w:val="00D06357"/>
    <w:rsid w:val="00D34B7A"/>
    <w:rsid w:val="00D554ED"/>
    <w:rsid w:val="00D668B5"/>
    <w:rsid w:val="00D66C1C"/>
    <w:rsid w:val="00D70C01"/>
    <w:rsid w:val="00DA69DD"/>
    <w:rsid w:val="00DB2518"/>
    <w:rsid w:val="00DB7873"/>
    <w:rsid w:val="00DC19C4"/>
    <w:rsid w:val="00DC2F9B"/>
    <w:rsid w:val="00DC792D"/>
    <w:rsid w:val="00DD1CF2"/>
    <w:rsid w:val="00DF1F69"/>
    <w:rsid w:val="00DF3C24"/>
    <w:rsid w:val="00E03131"/>
    <w:rsid w:val="00E15789"/>
    <w:rsid w:val="00E23BE6"/>
    <w:rsid w:val="00E2425D"/>
    <w:rsid w:val="00E335FD"/>
    <w:rsid w:val="00E50DBA"/>
    <w:rsid w:val="00E52F97"/>
    <w:rsid w:val="00E62FE7"/>
    <w:rsid w:val="00E663AD"/>
    <w:rsid w:val="00E751B3"/>
    <w:rsid w:val="00E7601C"/>
    <w:rsid w:val="00E86147"/>
    <w:rsid w:val="00E97E14"/>
    <w:rsid w:val="00EB4F76"/>
    <w:rsid w:val="00EB68F7"/>
    <w:rsid w:val="00EC3287"/>
    <w:rsid w:val="00EC55E4"/>
    <w:rsid w:val="00ED47FE"/>
    <w:rsid w:val="00EF38D8"/>
    <w:rsid w:val="00F353E0"/>
    <w:rsid w:val="00F60BDF"/>
    <w:rsid w:val="00F7461B"/>
    <w:rsid w:val="00F87E85"/>
    <w:rsid w:val="00FB3696"/>
    <w:rsid w:val="00FD0880"/>
    <w:rsid w:val="00FD0DF8"/>
    <w:rsid w:val="00FD653F"/>
    <w:rsid w:val="00FE140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CDD94"/>
  <w15:docId w15:val="{631EEE03-F561-4303-B727-7A512B1D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D8E"/>
    <w:pPr>
      <w:ind w:left="720"/>
      <w:contextualSpacing/>
    </w:pPr>
  </w:style>
  <w:style w:type="character" w:styleId="FollowedHyperlink">
    <w:name w:val="FollowedHyperlink"/>
    <w:basedOn w:val="DefaultParagraphFont"/>
    <w:rsid w:val="00C44A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B6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6E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3E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21F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557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4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D2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29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9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12.wa.us/sites/default/files/public/bulletinsmemos/bulletins2021/B056-21.pdf" TargetMode="External"/><Relationship Id="rId18" Type="http://schemas.openxmlformats.org/officeDocument/2006/relationships/hyperlink" Target="https://www.k12.wa.us/policy-funding/school-apportionment/instructions-and-tools/administrative-budgeting-and-financial-reporting-guidanc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k12.wa.us/policy-funding/school-apportionment/instructions-and-tools/tools-and-forms" TargetMode="External"/><Relationship Id="rId17" Type="http://schemas.openxmlformats.org/officeDocument/2006/relationships/hyperlink" Target="https://www.k12.wa.us/policy-funding/special-education-funding-and-finance/special-education-funding-washington-st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12.wa.us/policy-funding/school-apportionment/instructions-and-tools/tools-and-forms" TargetMode="External"/><Relationship Id="rId20" Type="http://schemas.openxmlformats.org/officeDocument/2006/relationships/hyperlink" Target="https://cdn.ymaws.com/www.wasbo.org/resource/resmgr/networking_groups/2021-22/abc/qa_document_-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avell@oesd114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12.wa.us/sites/default/files/public/safs/ins/acc/2021/2021_01_SDAM_Complete_Manual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k12.wa.us/sites/default/files/public/safs/ins/acc/2122/2122_20_SDAM_Appendix_B_AAG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sao.wa.gov/SAOPortal/Login?appUrl=%2fLGCS%2f&amp;returnUrl=%2fLGC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764E3EADB8D41AB247C7E8AF8249D" ma:contentTypeVersion="14" ma:contentTypeDescription="Create a new document." ma:contentTypeScope="" ma:versionID="65a7b26c28932bb8045cfdc41a55e6c3">
  <xsd:schema xmlns:xsd="http://www.w3.org/2001/XMLSchema" xmlns:xs="http://www.w3.org/2001/XMLSchema" xmlns:p="http://schemas.microsoft.com/office/2006/metadata/properties" xmlns:ns3="cdb804fb-dbbf-424a-8727-c05a59d6862d" xmlns:ns4="85d186aa-25a2-4e25-99ac-d2fdb8728015" targetNamespace="http://schemas.microsoft.com/office/2006/metadata/properties" ma:root="true" ma:fieldsID="293b5f8aaf2e61bab0006c8d78ed2dfa" ns3:_="" ns4:_="">
    <xsd:import namespace="cdb804fb-dbbf-424a-8727-c05a59d6862d"/>
    <xsd:import namespace="85d186aa-25a2-4e25-99ac-d2fdb8728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04fb-dbbf-424a-8727-c05a59d68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6aa-25a2-4e25-99ac-d2fdb8728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D1B0-D750-406E-86DB-B36D68C6B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497AC-6931-4518-B595-7B35547F9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750B0-C20C-4B47-B927-7D8D88F3C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804fb-dbbf-424a-8727-c05a59d6862d"/>
    <ds:schemaRef ds:uri="85d186aa-25a2-4e25-99ac-d2fdb8728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E2E48-84EA-4415-A96D-2A95B486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Sollers</dc:creator>
  <cp:lastModifiedBy>Korten, Heather</cp:lastModifiedBy>
  <cp:revision>2</cp:revision>
  <cp:lastPrinted>2022-09-13T15:22:00Z</cp:lastPrinted>
  <dcterms:created xsi:type="dcterms:W3CDTF">2022-09-13T16:53:00Z</dcterms:created>
  <dcterms:modified xsi:type="dcterms:W3CDTF">2022-09-13T16:53:00Z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0x010100166764E3EADB8D41AB247C7E8AF8249D</vt:lpwstr>
  </property>
</Properties>
</file>