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22E" w:rsidRPr="0091484B" w:rsidRDefault="0026522E" w:rsidP="0026522E">
      <w:pPr>
        <w:pStyle w:val="NormalWeb"/>
        <w:rPr>
          <w:rFonts w:ascii="Cambria" w:hAnsi="Cambria"/>
          <w:b/>
          <w:color w:val="000000"/>
          <w:sz w:val="22"/>
          <w:szCs w:val="27"/>
          <w:u w:val="single"/>
        </w:rPr>
      </w:pPr>
      <w:r w:rsidRPr="0091484B">
        <w:rPr>
          <w:rFonts w:ascii="Cambria" w:hAnsi="Cambria"/>
          <w:b/>
          <w:color w:val="000000"/>
          <w:sz w:val="22"/>
          <w:szCs w:val="27"/>
          <w:u w:val="single"/>
        </w:rPr>
        <w:t>COMMUNICABLE DISEASE PREVENTION P</w:t>
      </w:r>
      <w:r w:rsidR="0091484B">
        <w:rPr>
          <w:rFonts w:ascii="Cambria" w:hAnsi="Cambria"/>
          <w:b/>
          <w:color w:val="000000"/>
          <w:sz w:val="22"/>
          <w:szCs w:val="27"/>
          <w:u w:val="single"/>
        </w:rPr>
        <w:t>LAN</w:t>
      </w:r>
    </w:p>
    <w:p w:rsidR="0026522E" w:rsidRPr="0091484B" w:rsidRDefault="0026522E" w:rsidP="0026522E">
      <w:pPr>
        <w:pStyle w:val="NormalWeb"/>
        <w:rPr>
          <w:rFonts w:ascii="Cambria" w:hAnsi="Cambria"/>
          <w:color w:val="000000"/>
          <w:sz w:val="22"/>
          <w:szCs w:val="27"/>
        </w:rPr>
      </w:pPr>
      <w:r w:rsidRPr="0091484B">
        <w:rPr>
          <w:rFonts w:ascii="Cambria" w:hAnsi="Cambria"/>
          <w:color w:val="000000"/>
          <w:sz w:val="22"/>
          <w:szCs w:val="27"/>
        </w:rPr>
        <w:t>Purpose: To provide a safe environment for all employees who may be potentially exposed to viral pathogens</w:t>
      </w:r>
      <w:r w:rsidR="00523507" w:rsidRPr="0091484B">
        <w:rPr>
          <w:rFonts w:ascii="Cambria" w:hAnsi="Cambria"/>
          <w:color w:val="000000"/>
          <w:sz w:val="22"/>
          <w:szCs w:val="27"/>
        </w:rPr>
        <w:t>, including Coronavirus</w:t>
      </w:r>
      <w:r w:rsidRPr="0091484B">
        <w:rPr>
          <w:rFonts w:ascii="Cambria" w:hAnsi="Cambria"/>
          <w:color w:val="000000"/>
          <w:sz w:val="22"/>
          <w:szCs w:val="27"/>
        </w:rPr>
        <w:t>.</w:t>
      </w:r>
    </w:p>
    <w:p w:rsidR="0026522E" w:rsidRPr="0091484B" w:rsidRDefault="0026522E" w:rsidP="0026522E">
      <w:pPr>
        <w:pStyle w:val="NormalWeb"/>
        <w:rPr>
          <w:rFonts w:ascii="Cambria" w:hAnsi="Cambria"/>
          <w:color w:val="000000"/>
          <w:sz w:val="22"/>
          <w:szCs w:val="27"/>
        </w:rPr>
      </w:pPr>
      <w:r w:rsidRPr="0091484B">
        <w:rPr>
          <w:rFonts w:ascii="Cambria" w:hAnsi="Cambria"/>
          <w:color w:val="000000"/>
          <w:sz w:val="22"/>
          <w:szCs w:val="27"/>
        </w:rPr>
        <w:t xml:space="preserve">Procedures: All employees </w:t>
      </w:r>
      <w:r w:rsidR="0091484B">
        <w:rPr>
          <w:rFonts w:ascii="Cambria" w:hAnsi="Cambria"/>
          <w:color w:val="000000"/>
          <w:sz w:val="22"/>
          <w:szCs w:val="27"/>
        </w:rPr>
        <w:t xml:space="preserve">will be provided training on the APP and its </w:t>
      </w:r>
      <w:r w:rsidRPr="0091484B">
        <w:rPr>
          <w:rFonts w:ascii="Cambria" w:hAnsi="Cambria"/>
          <w:color w:val="000000"/>
          <w:sz w:val="22"/>
          <w:szCs w:val="27"/>
        </w:rPr>
        <w:t xml:space="preserve">Communicable Disease Prevention Plan </w:t>
      </w:r>
      <w:r w:rsidR="0091484B">
        <w:rPr>
          <w:rFonts w:ascii="Cambria" w:hAnsi="Cambria"/>
          <w:color w:val="000000"/>
          <w:sz w:val="22"/>
          <w:szCs w:val="27"/>
        </w:rPr>
        <w:t>during the initial orientation/job safety training conducted by the HR Department.</w:t>
      </w:r>
      <w:r w:rsidR="009F53F0">
        <w:rPr>
          <w:rFonts w:ascii="Cambria" w:hAnsi="Cambria"/>
          <w:color w:val="000000"/>
          <w:sz w:val="22"/>
          <w:szCs w:val="27"/>
        </w:rPr>
        <w:t xml:space="preserve"> Job specific training will be conducted by their Supervisor.  Employees </w:t>
      </w:r>
      <w:r w:rsidRPr="0091484B">
        <w:rPr>
          <w:rFonts w:ascii="Cambria" w:hAnsi="Cambria"/>
          <w:color w:val="000000"/>
          <w:sz w:val="22"/>
          <w:szCs w:val="27"/>
        </w:rPr>
        <w:t>will be updated whenever the introduction of new or modified tasks or procedures warrants 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26522E" w:rsidRPr="0091484B" w:rsidTr="0026522E">
        <w:tc>
          <w:tcPr>
            <w:tcW w:w="2335" w:type="dxa"/>
          </w:tcPr>
          <w:p w:rsidR="0026522E" w:rsidRPr="0091484B" w:rsidRDefault="0026522E" w:rsidP="0026522E">
            <w:pPr>
              <w:pStyle w:val="NormalWeb"/>
              <w:rPr>
                <w:rFonts w:ascii="Cambria" w:hAnsi="Cambria"/>
                <w:color w:val="000000"/>
                <w:sz w:val="22"/>
                <w:szCs w:val="27"/>
              </w:rPr>
            </w:pPr>
            <w:r w:rsidRPr="0091484B">
              <w:rPr>
                <w:rFonts w:ascii="Cambria" w:hAnsi="Cambria"/>
                <w:color w:val="000000"/>
                <w:sz w:val="22"/>
                <w:szCs w:val="27"/>
              </w:rPr>
              <w:t xml:space="preserve">Avoid </w:t>
            </w:r>
          </w:p>
        </w:tc>
        <w:tc>
          <w:tcPr>
            <w:tcW w:w="7015" w:type="dxa"/>
          </w:tcPr>
          <w:p w:rsidR="0026522E" w:rsidRPr="0091484B" w:rsidRDefault="00215818" w:rsidP="00B34DDF">
            <w:pPr>
              <w:pStyle w:val="NormalWeb"/>
              <w:rPr>
                <w:rFonts w:ascii="Cambria" w:hAnsi="Cambria"/>
                <w:color w:val="000000"/>
                <w:sz w:val="22"/>
                <w:szCs w:val="27"/>
              </w:rPr>
            </w:pPr>
            <w:r w:rsidRPr="0091484B">
              <w:rPr>
                <w:rFonts w:ascii="Cambria" w:hAnsi="Cambria"/>
                <w:color w:val="000000"/>
                <w:sz w:val="22"/>
                <w:szCs w:val="27"/>
              </w:rPr>
              <w:t>Touching eyes, nose, and mouth with unwashed hands.</w:t>
            </w:r>
            <w:r w:rsidRPr="0091484B">
              <w:rPr>
                <w:rFonts w:ascii="Cambria" w:hAnsi="Cambria"/>
                <w:color w:val="000000"/>
                <w:sz w:val="22"/>
                <w:szCs w:val="27"/>
              </w:rPr>
              <w:br/>
              <w:t>Using other employees’ phones, desks, offices, or other work tools and equipment.</w:t>
            </w:r>
          </w:p>
        </w:tc>
      </w:tr>
      <w:tr w:rsidR="0026522E" w:rsidRPr="0091484B" w:rsidTr="0026522E">
        <w:tc>
          <w:tcPr>
            <w:tcW w:w="2335" w:type="dxa"/>
          </w:tcPr>
          <w:p w:rsidR="0026522E" w:rsidRPr="0091484B" w:rsidRDefault="0026522E" w:rsidP="0026522E">
            <w:pPr>
              <w:pStyle w:val="NormalWeb"/>
              <w:rPr>
                <w:rFonts w:ascii="Cambria" w:hAnsi="Cambria"/>
                <w:color w:val="000000"/>
                <w:sz w:val="22"/>
                <w:szCs w:val="27"/>
              </w:rPr>
            </w:pPr>
            <w:r w:rsidRPr="0091484B">
              <w:rPr>
                <w:rFonts w:ascii="Cambria" w:hAnsi="Cambria"/>
                <w:color w:val="000000"/>
                <w:sz w:val="22"/>
                <w:szCs w:val="27"/>
              </w:rPr>
              <w:t>Limit</w:t>
            </w:r>
          </w:p>
        </w:tc>
        <w:tc>
          <w:tcPr>
            <w:tcW w:w="7015" w:type="dxa"/>
          </w:tcPr>
          <w:p w:rsidR="0026522E" w:rsidRPr="0091484B" w:rsidRDefault="0026522E" w:rsidP="00B34DDF">
            <w:pPr>
              <w:pStyle w:val="NormalWeb"/>
              <w:rPr>
                <w:rFonts w:ascii="Cambria" w:hAnsi="Cambria"/>
                <w:color w:val="000000"/>
                <w:sz w:val="22"/>
                <w:szCs w:val="27"/>
              </w:rPr>
            </w:pPr>
            <w:r w:rsidRPr="0091484B">
              <w:rPr>
                <w:rFonts w:ascii="Cambria" w:hAnsi="Cambria"/>
                <w:color w:val="000000"/>
                <w:sz w:val="22"/>
                <w:szCs w:val="27"/>
              </w:rPr>
              <w:t>Food sharing</w:t>
            </w:r>
            <w:r w:rsidRPr="0091484B">
              <w:rPr>
                <w:rFonts w:ascii="Cambria" w:hAnsi="Cambria"/>
                <w:color w:val="000000"/>
                <w:sz w:val="22"/>
                <w:szCs w:val="27"/>
              </w:rPr>
              <w:br/>
              <w:t>Large gatherings</w:t>
            </w:r>
            <w:r w:rsidRPr="0091484B">
              <w:rPr>
                <w:rFonts w:ascii="Cambria" w:hAnsi="Cambria"/>
                <w:color w:val="000000"/>
                <w:sz w:val="22"/>
                <w:szCs w:val="27"/>
              </w:rPr>
              <w:br/>
              <w:t>Business travel</w:t>
            </w:r>
          </w:p>
        </w:tc>
      </w:tr>
      <w:tr w:rsidR="0026522E" w:rsidRPr="0091484B" w:rsidTr="0026522E">
        <w:tc>
          <w:tcPr>
            <w:tcW w:w="2335" w:type="dxa"/>
          </w:tcPr>
          <w:p w:rsidR="0026522E" w:rsidRPr="0091484B" w:rsidRDefault="0026522E" w:rsidP="0026522E">
            <w:pPr>
              <w:pStyle w:val="NormalWeb"/>
              <w:rPr>
                <w:rFonts w:ascii="Cambria" w:hAnsi="Cambria"/>
                <w:color w:val="000000"/>
                <w:sz w:val="22"/>
                <w:szCs w:val="27"/>
              </w:rPr>
            </w:pPr>
            <w:r w:rsidRPr="0091484B">
              <w:rPr>
                <w:rFonts w:ascii="Cambria" w:hAnsi="Cambria"/>
                <w:color w:val="000000"/>
                <w:sz w:val="22"/>
                <w:szCs w:val="27"/>
              </w:rPr>
              <w:t xml:space="preserve">Use </w:t>
            </w:r>
            <w:r w:rsidR="00215818" w:rsidRPr="0091484B">
              <w:rPr>
                <w:rFonts w:ascii="Cambria" w:hAnsi="Cambria"/>
                <w:color w:val="000000"/>
                <w:sz w:val="22"/>
                <w:szCs w:val="27"/>
              </w:rPr>
              <w:t>Etiquette</w:t>
            </w:r>
          </w:p>
        </w:tc>
        <w:tc>
          <w:tcPr>
            <w:tcW w:w="7015" w:type="dxa"/>
          </w:tcPr>
          <w:p w:rsidR="0026522E" w:rsidRPr="0091484B" w:rsidRDefault="00215818" w:rsidP="0091484B">
            <w:pPr>
              <w:pStyle w:val="NormalWeb"/>
              <w:rPr>
                <w:rFonts w:ascii="Cambria" w:hAnsi="Cambria"/>
                <w:color w:val="000000"/>
                <w:sz w:val="22"/>
                <w:szCs w:val="27"/>
              </w:rPr>
            </w:pPr>
            <w:r w:rsidRPr="0091484B">
              <w:rPr>
                <w:rFonts w:ascii="Cambria" w:hAnsi="Cambria"/>
                <w:color w:val="000000"/>
                <w:sz w:val="22"/>
                <w:szCs w:val="27"/>
              </w:rPr>
              <w:t>Stay home if you are sick.</w:t>
            </w:r>
            <w:r w:rsidRPr="0091484B">
              <w:rPr>
                <w:rFonts w:ascii="Cambria" w:hAnsi="Cambria"/>
                <w:color w:val="000000"/>
                <w:sz w:val="22"/>
                <w:szCs w:val="27"/>
              </w:rPr>
              <w:br/>
              <w:t>Do not</w:t>
            </w:r>
            <w:r w:rsidR="0026522E" w:rsidRPr="0091484B">
              <w:rPr>
                <w:rFonts w:ascii="Cambria" w:hAnsi="Cambria"/>
                <w:color w:val="000000"/>
                <w:sz w:val="22"/>
                <w:szCs w:val="27"/>
              </w:rPr>
              <w:t xml:space="preserve"> share drinking glasses, </w:t>
            </w:r>
            <w:proofErr w:type="spellStart"/>
            <w:r w:rsidR="0026522E" w:rsidRPr="0091484B">
              <w:rPr>
                <w:rFonts w:ascii="Cambria" w:hAnsi="Cambria"/>
                <w:color w:val="000000"/>
                <w:sz w:val="22"/>
                <w:szCs w:val="27"/>
              </w:rPr>
              <w:t>chapstick</w:t>
            </w:r>
            <w:proofErr w:type="spellEnd"/>
            <w:r w:rsidR="0026522E" w:rsidRPr="0091484B">
              <w:rPr>
                <w:rFonts w:ascii="Cambria" w:hAnsi="Cambria"/>
                <w:color w:val="000000"/>
                <w:sz w:val="22"/>
                <w:szCs w:val="27"/>
              </w:rPr>
              <w:t>, combs, etc.</w:t>
            </w:r>
            <w:r w:rsidR="0026522E" w:rsidRPr="0091484B">
              <w:rPr>
                <w:rFonts w:ascii="Cambria" w:hAnsi="Cambria"/>
                <w:color w:val="000000"/>
                <w:sz w:val="22"/>
                <w:szCs w:val="27"/>
              </w:rPr>
              <w:br/>
            </w:r>
            <w:r w:rsidRPr="0091484B">
              <w:rPr>
                <w:rFonts w:ascii="Cambria" w:hAnsi="Cambria"/>
                <w:color w:val="000000"/>
                <w:sz w:val="22"/>
                <w:szCs w:val="27"/>
              </w:rPr>
              <w:t>Cover mouth and nose with tissue when coughing or sneezing (or use inside of elbow).</w:t>
            </w:r>
            <w:r w:rsidRPr="0091484B">
              <w:rPr>
                <w:rFonts w:ascii="Cambria" w:hAnsi="Cambria"/>
                <w:color w:val="000000"/>
                <w:sz w:val="22"/>
                <w:szCs w:val="27"/>
              </w:rPr>
              <w:br/>
              <w:t>Ma</w:t>
            </w:r>
            <w:r w:rsidR="0091484B" w:rsidRPr="0091484B">
              <w:rPr>
                <w:rFonts w:ascii="Cambria" w:hAnsi="Cambria"/>
                <w:color w:val="000000"/>
                <w:sz w:val="22"/>
                <w:szCs w:val="27"/>
              </w:rPr>
              <w:t>intain distance</w:t>
            </w:r>
            <w:r w:rsidRPr="0091484B">
              <w:rPr>
                <w:rFonts w:ascii="Cambria" w:hAnsi="Cambria"/>
                <w:color w:val="000000"/>
                <w:sz w:val="22"/>
                <w:szCs w:val="27"/>
              </w:rPr>
              <w:t xml:space="preserve"> of at least 6 feet.</w:t>
            </w:r>
          </w:p>
        </w:tc>
      </w:tr>
      <w:tr w:rsidR="0026522E" w:rsidRPr="0091484B" w:rsidTr="0026522E">
        <w:tc>
          <w:tcPr>
            <w:tcW w:w="2335" w:type="dxa"/>
          </w:tcPr>
          <w:p w:rsidR="0026522E" w:rsidRPr="0091484B" w:rsidRDefault="0026522E" w:rsidP="00215818">
            <w:pPr>
              <w:pStyle w:val="NormalWeb"/>
              <w:rPr>
                <w:rFonts w:ascii="Cambria" w:hAnsi="Cambria"/>
                <w:color w:val="000000"/>
                <w:sz w:val="22"/>
                <w:szCs w:val="27"/>
              </w:rPr>
            </w:pPr>
            <w:r w:rsidRPr="0091484B">
              <w:rPr>
                <w:rFonts w:ascii="Cambria" w:hAnsi="Cambria"/>
                <w:color w:val="000000"/>
                <w:sz w:val="22"/>
                <w:szCs w:val="27"/>
              </w:rPr>
              <w:t xml:space="preserve">Hand Washing </w:t>
            </w:r>
          </w:p>
        </w:tc>
        <w:tc>
          <w:tcPr>
            <w:tcW w:w="7015" w:type="dxa"/>
          </w:tcPr>
          <w:p w:rsidR="00215818" w:rsidRPr="0091484B" w:rsidRDefault="00215818" w:rsidP="00B34DDF">
            <w:pPr>
              <w:pStyle w:val="NormalWeb"/>
              <w:rPr>
                <w:rFonts w:ascii="Cambria" w:hAnsi="Cambria"/>
                <w:color w:val="000000"/>
                <w:sz w:val="22"/>
                <w:szCs w:val="27"/>
              </w:rPr>
            </w:pPr>
            <w:r w:rsidRPr="0091484B">
              <w:rPr>
                <w:rFonts w:ascii="Cambria" w:hAnsi="Cambria"/>
                <w:color w:val="000000"/>
                <w:sz w:val="22"/>
                <w:szCs w:val="27"/>
              </w:rPr>
              <w:t>After blowing nose, coughing, or sneezing.</w:t>
            </w:r>
            <w:r w:rsidRPr="0091484B">
              <w:rPr>
                <w:rFonts w:ascii="Cambria" w:hAnsi="Cambria"/>
                <w:color w:val="000000"/>
                <w:sz w:val="22"/>
                <w:szCs w:val="27"/>
              </w:rPr>
              <w:br/>
              <w:t>After using restroom.</w:t>
            </w:r>
            <w:r w:rsidRPr="0091484B">
              <w:rPr>
                <w:rFonts w:ascii="Cambria" w:hAnsi="Cambria"/>
                <w:color w:val="000000"/>
                <w:sz w:val="22"/>
                <w:szCs w:val="27"/>
              </w:rPr>
              <w:br/>
              <w:t>Before eating or preparing food.</w:t>
            </w:r>
            <w:r w:rsidRPr="0091484B">
              <w:rPr>
                <w:rFonts w:ascii="Cambria" w:hAnsi="Cambria"/>
                <w:color w:val="000000"/>
                <w:sz w:val="22"/>
                <w:szCs w:val="27"/>
              </w:rPr>
              <w:br/>
              <w:t>After putting on, touching, or removing face coverings.</w:t>
            </w:r>
          </w:p>
        </w:tc>
      </w:tr>
      <w:tr w:rsidR="0026522E" w:rsidRPr="0091484B" w:rsidTr="0026522E">
        <w:tc>
          <w:tcPr>
            <w:tcW w:w="2335" w:type="dxa"/>
          </w:tcPr>
          <w:p w:rsidR="0026522E" w:rsidRPr="0091484B" w:rsidRDefault="00215818" w:rsidP="0026522E">
            <w:pPr>
              <w:pStyle w:val="NormalWeb"/>
              <w:rPr>
                <w:rFonts w:ascii="Cambria" w:hAnsi="Cambria"/>
                <w:color w:val="000000"/>
                <w:sz w:val="22"/>
                <w:szCs w:val="27"/>
              </w:rPr>
            </w:pPr>
            <w:r w:rsidRPr="0091484B">
              <w:rPr>
                <w:rFonts w:ascii="Cambria" w:hAnsi="Cambria"/>
                <w:color w:val="000000"/>
                <w:sz w:val="22"/>
                <w:szCs w:val="27"/>
              </w:rPr>
              <w:t>Routine Cleaning and Disinfection</w:t>
            </w:r>
          </w:p>
        </w:tc>
        <w:tc>
          <w:tcPr>
            <w:tcW w:w="7015" w:type="dxa"/>
          </w:tcPr>
          <w:p w:rsidR="0026522E" w:rsidRPr="0091484B" w:rsidRDefault="0026522E" w:rsidP="00215818">
            <w:pPr>
              <w:pStyle w:val="NormalWeb"/>
              <w:rPr>
                <w:rFonts w:ascii="Cambria" w:hAnsi="Cambria"/>
                <w:color w:val="000000"/>
                <w:sz w:val="22"/>
                <w:szCs w:val="27"/>
              </w:rPr>
            </w:pPr>
            <w:r w:rsidRPr="0091484B">
              <w:rPr>
                <w:rFonts w:ascii="Cambria" w:hAnsi="Cambria"/>
                <w:color w:val="000000"/>
                <w:sz w:val="22"/>
                <w:szCs w:val="27"/>
              </w:rPr>
              <w:t xml:space="preserve">Surfaces like </w:t>
            </w:r>
            <w:r w:rsidR="00215818" w:rsidRPr="0091484B">
              <w:rPr>
                <w:rFonts w:ascii="Cambria" w:hAnsi="Cambria"/>
                <w:color w:val="000000"/>
                <w:sz w:val="22"/>
                <w:szCs w:val="27"/>
              </w:rPr>
              <w:t>tables, workstations, keyboards, telephones, handrails, and doorknobs.</w:t>
            </w:r>
          </w:p>
        </w:tc>
      </w:tr>
    </w:tbl>
    <w:p w:rsidR="0026522E" w:rsidRDefault="0026522E" w:rsidP="0026522E">
      <w:pPr>
        <w:pStyle w:val="NormalWeb"/>
        <w:rPr>
          <w:rFonts w:ascii="Cambria" w:hAnsi="Cambria"/>
          <w:color w:val="000000"/>
          <w:sz w:val="22"/>
          <w:szCs w:val="27"/>
        </w:rPr>
      </w:pPr>
      <w:r w:rsidRPr="009F53F0">
        <w:rPr>
          <w:rFonts w:ascii="Cambria" w:hAnsi="Cambria"/>
          <w:color w:val="000000"/>
          <w:sz w:val="22"/>
          <w:szCs w:val="27"/>
          <w:u w:val="single"/>
        </w:rPr>
        <w:t>Exposure Determination</w:t>
      </w:r>
      <w:r w:rsidRPr="0091484B">
        <w:rPr>
          <w:rFonts w:ascii="Cambria" w:hAnsi="Cambria"/>
          <w:color w:val="000000"/>
          <w:sz w:val="22"/>
          <w:szCs w:val="27"/>
        </w:rPr>
        <w:t xml:space="preserve"> – Examples of occupational groups in the OESD 114 considered at risk are listed below; however, individual job duties must be considered when determining those employees at risk.</w:t>
      </w:r>
    </w:p>
    <w:p w:rsidR="009F53F0" w:rsidRPr="009F53F0" w:rsidRDefault="009F53F0" w:rsidP="009F53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mbria" w:hAnsi="Cambria"/>
        </w:rPr>
      </w:pPr>
      <w:r>
        <w:rPr>
          <w:rFonts w:ascii="Cambria" w:hAnsi="Cambria"/>
          <w:color w:val="000000"/>
        </w:rPr>
        <w:t>Health Care and other Care Providers (Nurses, Health Services Assistants, Child Program Employees)</w:t>
      </w:r>
    </w:p>
    <w:p w:rsidR="009F53F0" w:rsidRPr="009F53F0" w:rsidRDefault="009F53F0" w:rsidP="009F53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mbria" w:hAnsi="Cambria"/>
        </w:rPr>
      </w:pPr>
      <w:r>
        <w:rPr>
          <w:rFonts w:ascii="Cambria" w:hAnsi="Cambria"/>
          <w:color w:val="000000"/>
        </w:rPr>
        <w:t>Custodians</w:t>
      </w:r>
    </w:p>
    <w:p w:rsidR="009F53F0" w:rsidRPr="009F53F0" w:rsidRDefault="009F53F0" w:rsidP="009F53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mbria" w:hAnsi="Cambria"/>
        </w:rPr>
      </w:pPr>
      <w:r>
        <w:rPr>
          <w:rFonts w:ascii="Cambria" w:hAnsi="Cambria"/>
          <w:color w:val="000000"/>
        </w:rPr>
        <w:t xml:space="preserve">Teachers and </w:t>
      </w:r>
      <w:proofErr w:type="spellStart"/>
      <w:r>
        <w:rPr>
          <w:rFonts w:ascii="Cambria" w:hAnsi="Cambria"/>
          <w:color w:val="000000"/>
        </w:rPr>
        <w:t>Paraeducators</w:t>
      </w:r>
      <w:proofErr w:type="spellEnd"/>
      <w:r>
        <w:rPr>
          <w:rFonts w:ascii="Cambria" w:hAnsi="Cambria"/>
          <w:color w:val="000000"/>
        </w:rPr>
        <w:t xml:space="preserve"> working in classrooms serving students that may present an increased risk of exposure to viral pathogens (i.e., students requiring diapering or other personal care; students with difficulty controlling secretions; students prone to behaviors such as biting).  </w:t>
      </w:r>
      <w:bookmarkStart w:id="0" w:name="_GoBack"/>
      <w:bookmarkEnd w:id="0"/>
    </w:p>
    <w:sectPr w:rsidR="009F53F0" w:rsidRPr="009F5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52F01"/>
    <w:multiLevelType w:val="multilevel"/>
    <w:tmpl w:val="05FAC6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6D17C55"/>
    <w:multiLevelType w:val="hybridMultilevel"/>
    <w:tmpl w:val="05FCF146"/>
    <w:lvl w:ilvl="0" w:tplc="A426C80C">
      <w:start w:val="6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2E"/>
    <w:rsid w:val="00215818"/>
    <w:rsid w:val="0026522E"/>
    <w:rsid w:val="00523507"/>
    <w:rsid w:val="0091484B"/>
    <w:rsid w:val="009F53F0"/>
    <w:rsid w:val="00A817DE"/>
    <w:rsid w:val="00E2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4EECE"/>
  <w15:chartTrackingRefBased/>
  <w15:docId w15:val="{9C782303-835D-4C20-BCE0-9397FD28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5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65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7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Olympic Educational Service District 114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Wageman, Angela</dc:creator>
  <cp:keywords/>
  <dc:description/>
  <cp:lastModifiedBy>Winney, Anna</cp:lastModifiedBy>
  <cp:revision>2</cp:revision>
  <dcterms:created xsi:type="dcterms:W3CDTF">2020-05-20T23:26:00Z</dcterms:created>
  <dcterms:modified xsi:type="dcterms:W3CDTF">2020-05-20T23:26:00Z</dcterms:modified>
</cp:coreProperties>
</file>